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7B4897" w14:textId="77777777" w:rsidR="009477D0" w:rsidRPr="00B45742" w:rsidRDefault="009477D0" w:rsidP="009477D0">
      <w:pPr>
        <w:spacing w:before="240" w:after="0"/>
        <w:jc w:val="both"/>
        <w:rPr>
          <w:b/>
          <w:color w:val="00A0DC"/>
          <w:sz w:val="36"/>
          <w:szCs w:val="36"/>
          <w:lang w:val="en-GB"/>
        </w:rPr>
      </w:pPr>
      <w:r w:rsidRPr="00B45742">
        <w:rPr>
          <w:b/>
          <w:noProof/>
          <w:color w:val="00A0DC"/>
          <w:sz w:val="36"/>
          <w:szCs w:val="36"/>
          <w:lang w:val="en-GB"/>
        </w:rPr>
        <w:drawing>
          <wp:anchor distT="0" distB="0" distL="114300" distR="114300" simplePos="0" relativeHeight="251663360" behindDoc="0" locked="0" layoutInCell="1" allowOverlap="1" wp14:anchorId="3CCF7030" wp14:editId="7D0FC3BD">
            <wp:simplePos x="0" y="0"/>
            <wp:positionH relativeFrom="margin">
              <wp:posOffset>0</wp:posOffset>
            </wp:positionH>
            <wp:positionV relativeFrom="paragraph">
              <wp:posOffset>154305</wp:posOffset>
            </wp:positionV>
            <wp:extent cx="606425" cy="594360"/>
            <wp:effectExtent l="0" t="0" r="317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06425" cy="594360"/>
                    </a:xfrm>
                    <a:prstGeom prst="rect">
                      <a:avLst/>
                    </a:prstGeom>
                  </pic:spPr>
                </pic:pic>
              </a:graphicData>
            </a:graphic>
            <wp14:sizeRelH relativeFrom="margin">
              <wp14:pctWidth>0</wp14:pctWidth>
            </wp14:sizeRelH>
            <wp14:sizeRelV relativeFrom="margin">
              <wp14:pctHeight>0</wp14:pctHeight>
            </wp14:sizeRelV>
          </wp:anchor>
        </w:drawing>
      </w:r>
      <w:r w:rsidRPr="00B45742">
        <w:rPr>
          <w:b/>
          <w:color w:val="00A0DC"/>
          <w:sz w:val="36"/>
          <w:szCs w:val="36"/>
          <w:lang w:val="en-GB"/>
        </w:rPr>
        <w:t xml:space="preserve"> Step 2: Strategic Response Planning</w:t>
      </w:r>
    </w:p>
    <w:p w14:paraId="688E4348" w14:textId="77777777" w:rsidR="009477D0" w:rsidRPr="009477D0" w:rsidRDefault="009477D0" w:rsidP="009477D0">
      <w:pPr>
        <w:spacing w:after="0"/>
        <w:jc w:val="both"/>
        <w:rPr>
          <w:b/>
          <w:bCs/>
          <w:color w:val="00A0DC"/>
          <w:sz w:val="36"/>
          <w:szCs w:val="36"/>
          <w:lang w:val="en-GB"/>
        </w:rPr>
      </w:pPr>
      <w:r w:rsidRPr="009477D0">
        <w:rPr>
          <w:bCs/>
          <w:color w:val="00A0DC"/>
          <w:sz w:val="36"/>
          <w:szCs w:val="36"/>
          <w:lang w:val="en-GB"/>
        </w:rPr>
        <w:t>Promising Practices &amp; Resources from Country Clusters</w:t>
      </w:r>
    </w:p>
    <w:p w14:paraId="2223C14C" w14:textId="4FA8E907" w:rsidR="00A25D2F" w:rsidRPr="002D23F1" w:rsidRDefault="00940BC5" w:rsidP="00940BC5">
      <w:pPr>
        <w:spacing w:before="240"/>
        <w:jc w:val="both"/>
        <w:rPr>
          <w:bCs/>
          <w:color w:val="008080"/>
          <w:sz w:val="36"/>
          <w:szCs w:val="36"/>
          <w:lang w:val="en-GB"/>
        </w:rPr>
      </w:pPr>
      <w:r w:rsidRPr="002D23F1">
        <w:rPr>
          <w:b/>
          <w:noProof/>
          <w:color w:val="006666"/>
          <w:lang w:val="en-GB"/>
        </w:rPr>
        <mc:AlternateContent>
          <mc:Choice Requires="wps">
            <w:drawing>
              <wp:anchor distT="0" distB="0" distL="114300" distR="114300" simplePos="0" relativeHeight="251661312" behindDoc="0" locked="0" layoutInCell="1" allowOverlap="1" wp14:anchorId="668812B9" wp14:editId="35387384">
                <wp:simplePos x="0" y="0"/>
                <wp:positionH relativeFrom="column">
                  <wp:posOffset>6969125</wp:posOffset>
                </wp:positionH>
                <wp:positionV relativeFrom="paragraph">
                  <wp:posOffset>817245</wp:posOffset>
                </wp:positionV>
                <wp:extent cx="257175" cy="333375"/>
                <wp:effectExtent l="19050" t="0" r="28575" b="28575"/>
                <wp:wrapNone/>
                <wp:docPr id="6" name="Arrow: Chevron 6"/>
                <wp:cNvGraphicFramePr/>
                <a:graphic xmlns:a="http://schemas.openxmlformats.org/drawingml/2006/main">
                  <a:graphicData uri="http://schemas.microsoft.com/office/word/2010/wordprocessingShape">
                    <wps:wsp>
                      <wps:cNvSpPr/>
                      <wps:spPr>
                        <a:xfrm>
                          <a:off x="0" y="0"/>
                          <a:ext cx="257175" cy="333375"/>
                        </a:xfrm>
                        <a:prstGeom prst="chevron">
                          <a:avLst/>
                        </a:prstGeom>
                        <a:solidFill>
                          <a:srgbClr val="00A0DC"/>
                        </a:solidFill>
                        <a:ln>
                          <a:solidFill>
                            <a:srgbClr val="00A0DC"/>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C78DEC"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6" o:spid="_x0000_s1026" type="#_x0000_t55" style="position:absolute;margin-left:548.75pt;margin-top:64.35pt;width:20.2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" adj="10800" fillcolor="#00a0dc" strokecolor="#00a0dc" strokeweight=".5pt"/>
            </w:pict>
          </mc:Fallback>
        </mc:AlternateContent>
      </w:r>
      <w:r w:rsidR="009477D0" w:rsidRPr="002D23F1">
        <w:rPr>
          <w:b/>
          <w:noProof/>
          <w:color w:val="006666"/>
          <w:lang w:val="en-GB"/>
        </w:rPr>
        <mc:AlternateContent>
          <mc:Choice Requires="wps">
            <w:drawing>
              <wp:anchor distT="0" distB="0" distL="114300" distR="114300" simplePos="0" relativeHeight="251659264" behindDoc="0" locked="0" layoutInCell="1" allowOverlap="1" wp14:anchorId="74BD4ADC" wp14:editId="2BAC5955">
                <wp:simplePos x="0" y="0"/>
                <wp:positionH relativeFrom="column">
                  <wp:posOffset>687070</wp:posOffset>
                </wp:positionH>
                <wp:positionV relativeFrom="paragraph">
                  <wp:posOffset>813435</wp:posOffset>
                </wp:positionV>
                <wp:extent cx="257175" cy="333375"/>
                <wp:effectExtent l="19050" t="0" r="28575" b="28575"/>
                <wp:wrapNone/>
                <wp:docPr id="11" name="Arrow: Chevron 11"/>
                <wp:cNvGraphicFramePr/>
                <a:graphic xmlns:a="http://schemas.openxmlformats.org/drawingml/2006/main">
                  <a:graphicData uri="http://schemas.microsoft.com/office/word/2010/wordprocessingShape">
                    <wps:wsp>
                      <wps:cNvSpPr/>
                      <wps:spPr>
                        <a:xfrm>
                          <a:off x="0" y="0"/>
                          <a:ext cx="257175" cy="333375"/>
                        </a:xfrm>
                        <a:prstGeom prst="chevron">
                          <a:avLst/>
                        </a:prstGeom>
                        <a:solidFill>
                          <a:srgbClr val="00A0DC"/>
                        </a:solidFill>
                        <a:ln>
                          <a:solidFill>
                            <a:srgbClr val="00A0DC"/>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F9327F" id="Arrow: Chevron 11" o:spid="_x0000_s1026" type="#_x0000_t55" style="position:absolute;margin-left:54.1pt;margin-top:64.05pt;width:20.2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" adj="10800" fillcolor="#00a0dc" strokecolor="#00a0dc" strokeweight=".5pt"/>
            </w:pict>
          </mc:Fallback>
        </mc:AlternateContent>
      </w:r>
      <w:r w:rsidR="003509ED" w:rsidRPr="002D23F1">
        <w:rPr>
          <w:bCs/>
          <w:lang w:val="en-GB"/>
        </w:rPr>
        <w:t xml:space="preserve">The following table contains promising practices of CP-EiE Collaboration from country clusters and where available, the resources they used. Examples are categorised following the </w:t>
      </w:r>
      <w:hyperlink r:id="rId9" w:history="1">
        <w:r w:rsidR="003509ED" w:rsidRPr="002D23F1">
          <w:rPr>
            <w:rStyle w:val="Hyperlink"/>
            <w:bCs/>
            <w:lang w:val="en-GB"/>
          </w:rPr>
          <w:t>CP-EiE Collaboration Framework</w:t>
        </w:r>
      </w:hyperlink>
      <w:r w:rsidR="003509ED" w:rsidRPr="002D23F1">
        <w:rPr>
          <w:bCs/>
          <w:lang w:val="en-GB"/>
        </w:rPr>
        <w:t xml:space="preserve"> structure. Global resources related to these steps are included at the end. </w:t>
      </w:r>
      <w:r w:rsidR="003509ED" w:rsidRPr="002D23F1">
        <w:rPr>
          <w:bCs/>
          <w:i/>
          <w:iCs/>
          <w:lang w:val="en-GB"/>
        </w:rPr>
        <w:t xml:space="preserve">This is a living compilation of promising practices; if you have examples or tools to </w:t>
      </w:r>
      <w:r w:rsidR="009477D0">
        <w:rPr>
          <w:bCs/>
          <w:i/>
          <w:iCs/>
          <w:lang w:val="en-GB"/>
        </w:rPr>
        <w:t>add,</w:t>
      </w:r>
      <w:r w:rsidR="003509ED" w:rsidRPr="002D23F1">
        <w:rPr>
          <w:bCs/>
          <w:i/>
          <w:iCs/>
          <w:lang w:val="en-GB"/>
        </w:rPr>
        <w:t xml:space="preserve"> please </w:t>
      </w:r>
      <w:hyperlink r:id="rId10" w:history="1">
        <w:r w:rsidR="003509ED" w:rsidRPr="002D23F1">
          <w:rPr>
            <w:rStyle w:val="Hyperlink"/>
            <w:bCs/>
            <w:i/>
            <w:iCs/>
            <w:lang w:val="en-GB"/>
          </w:rPr>
          <w:t>get in contact</w:t>
        </w:r>
      </w:hyperlink>
      <w:r w:rsidR="003509ED" w:rsidRPr="002D23F1">
        <w:rPr>
          <w:bCs/>
          <w:i/>
          <w:iCs/>
          <w:lang w:val="en-GB"/>
        </w:rPr>
        <w:t xml:space="preserve"> with us!</w:t>
      </w:r>
    </w:p>
    <w:tbl>
      <w:tblPr>
        <w:tblStyle w:val="TableGrid"/>
        <w:tblW w:w="5646" w:type="pct"/>
        <w:tblInd w:w="-866" w:type="dxa"/>
        <w:tblBorders>
          <w:top w:val="single" w:sz="12" w:space="0" w:color="00A0DC"/>
          <w:left w:val="single" w:sz="12" w:space="0" w:color="00A0DC"/>
          <w:bottom w:val="single" w:sz="12" w:space="0" w:color="00A0DC"/>
          <w:right w:val="single" w:sz="12" w:space="0" w:color="00A0DC"/>
          <w:insideH w:val="single" w:sz="12" w:space="0" w:color="00A0DC"/>
          <w:insideV w:val="single" w:sz="12" w:space="0" w:color="00A0DC"/>
        </w:tblBorders>
        <w:tblLayout w:type="fixed"/>
        <w:tblLook w:val="04A0" w:firstRow="1" w:lastRow="0" w:firstColumn="1" w:lastColumn="0" w:noHBand="0" w:noVBand="1"/>
      </w:tblPr>
      <w:tblGrid>
        <w:gridCol w:w="2126"/>
        <w:gridCol w:w="1986"/>
        <w:gridCol w:w="7937"/>
        <w:gridCol w:w="2552"/>
      </w:tblGrid>
      <w:tr w:rsidR="003814DE" w:rsidRPr="002D23F1" w14:paraId="485CFC1A" w14:textId="77777777" w:rsidTr="0066730E">
        <w:tc>
          <w:tcPr>
            <w:tcW w:w="728" w:type="pct"/>
          </w:tcPr>
          <w:p w14:paraId="477044A1" w14:textId="3E84557C" w:rsidR="003814DE" w:rsidRPr="009477D0" w:rsidRDefault="00830D5A" w:rsidP="00FC39BC">
            <w:pPr>
              <w:jc w:val="center"/>
              <w:rPr>
                <w:b/>
                <w:color w:val="00A0DC"/>
                <w:sz w:val="20"/>
                <w:szCs w:val="20"/>
                <w:lang w:val="en-GB"/>
              </w:rPr>
            </w:pPr>
            <w:r>
              <w:rPr>
                <w:b/>
                <w:color w:val="00A0DC"/>
                <w:sz w:val="20"/>
                <w:szCs w:val="20"/>
                <w:lang w:val="en-GB"/>
              </w:rPr>
              <w:t xml:space="preserve">2a. </w:t>
            </w:r>
            <w:r w:rsidR="003814DE" w:rsidRPr="009477D0">
              <w:rPr>
                <w:b/>
                <w:color w:val="00A0DC"/>
                <w:sz w:val="20"/>
                <w:szCs w:val="20"/>
                <w:lang w:val="en-GB"/>
              </w:rPr>
              <w:t xml:space="preserve">Identify areas of collaboration </w:t>
            </w:r>
          </w:p>
        </w:tc>
        <w:tc>
          <w:tcPr>
            <w:tcW w:w="680" w:type="pct"/>
          </w:tcPr>
          <w:p w14:paraId="3905B9DE" w14:textId="6EE4ABB2" w:rsidR="003814DE" w:rsidRPr="009477D0" w:rsidRDefault="009477D0" w:rsidP="00FC39BC">
            <w:pPr>
              <w:jc w:val="center"/>
              <w:rPr>
                <w:b/>
                <w:color w:val="00A0DC"/>
                <w:sz w:val="20"/>
                <w:szCs w:val="20"/>
                <w:lang w:val="en-GB"/>
              </w:rPr>
            </w:pPr>
            <w:r w:rsidRPr="002D23F1">
              <w:rPr>
                <w:b/>
                <w:noProof/>
                <w:color w:val="006666"/>
                <w:lang w:val="en-GB"/>
              </w:rPr>
              <mc:AlternateContent>
                <mc:Choice Requires="wps">
                  <w:drawing>
                    <wp:anchor distT="0" distB="0" distL="114300" distR="114300" simplePos="0" relativeHeight="251660288" behindDoc="0" locked="0" layoutInCell="1" allowOverlap="1" wp14:anchorId="654AA9AC" wp14:editId="64934228">
                      <wp:simplePos x="0" y="0"/>
                      <wp:positionH relativeFrom="column">
                        <wp:posOffset>1052830</wp:posOffset>
                      </wp:positionH>
                      <wp:positionV relativeFrom="paragraph">
                        <wp:posOffset>-5080</wp:posOffset>
                      </wp:positionV>
                      <wp:extent cx="257175" cy="317500"/>
                      <wp:effectExtent l="19050" t="0" r="28575" b="25400"/>
                      <wp:wrapNone/>
                      <wp:docPr id="5" name="Arrow: Chevron 5"/>
                      <wp:cNvGraphicFramePr/>
                      <a:graphic xmlns:a="http://schemas.openxmlformats.org/drawingml/2006/main">
                        <a:graphicData uri="http://schemas.microsoft.com/office/word/2010/wordprocessingShape">
                          <wps:wsp>
                            <wps:cNvSpPr/>
                            <wps:spPr>
                              <a:xfrm>
                                <a:off x="0" y="0"/>
                                <a:ext cx="257175" cy="317500"/>
                              </a:xfrm>
                              <a:prstGeom prst="chevron">
                                <a:avLst/>
                              </a:prstGeom>
                              <a:solidFill>
                                <a:srgbClr val="00A0DC"/>
                              </a:solidFill>
                              <a:ln>
                                <a:solidFill>
                                  <a:srgbClr val="00A0DC"/>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3220C1" id="Arrow: Chevron 5" o:spid="_x0000_s1026" type="#_x0000_t55" style="position:absolute;margin-left:82.9pt;margin-top:-.4pt;width:20.25pt;height: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" adj="10800" fillcolor="#00a0dc" strokecolor="#00a0dc" strokeweight=".5pt"/>
                  </w:pict>
                </mc:Fallback>
              </mc:AlternateContent>
            </w:r>
            <w:r w:rsidR="00830D5A">
              <w:rPr>
                <w:b/>
                <w:color w:val="00A0DC"/>
                <w:sz w:val="20"/>
                <w:szCs w:val="20"/>
                <w:lang w:val="en-GB"/>
              </w:rPr>
              <w:t xml:space="preserve">2b. </w:t>
            </w:r>
            <w:r w:rsidR="003814DE" w:rsidRPr="009477D0">
              <w:rPr>
                <w:b/>
                <w:color w:val="00A0DC"/>
                <w:sz w:val="20"/>
                <w:szCs w:val="20"/>
                <w:lang w:val="en-GB"/>
              </w:rPr>
              <w:t xml:space="preserve">Agree roles &amp; </w:t>
            </w:r>
          </w:p>
          <w:p w14:paraId="2BB84A46" w14:textId="77777777" w:rsidR="003814DE" w:rsidRPr="009477D0" w:rsidRDefault="003814DE" w:rsidP="00FC39BC">
            <w:pPr>
              <w:jc w:val="center"/>
              <w:rPr>
                <w:b/>
                <w:color w:val="00A0DC"/>
                <w:sz w:val="20"/>
                <w:szCs w:val="20"/>
                <w:lang w:val="en-GB"/>
              </w:rPr>
            </w:pPr>
            <w:r w:rsidRPr="009477D0">
              <w:rPr>
                <w:b/>
                <w:color w:val="00A0DC"/>
                <w:sz w:val="20"/>
                <w:szCs w:val="20"/>
                <w:lang w:val="en-GB"/>
              </w:rPr>
              <w:t>responsibilities</w:t>
            </w:r>
          </w:p>
        </w:tc>
        <w:tc>
          <w:tcPr>
            <w:tcW w:w="2718" w:type="pct"/>
            <w:vAlign w:val="center"/>
          </w:tcPr>
          <w:p w14:paraId="580623FD" w14:textId="7EF27058" w:rsidR="003814DE" w:rsidRPr="009477D0" w:rsidRDefault="00830D5A" w:rsidP="0066730E">
            <w:pPr>
              <w:jc w:val="center"/>
              <w:rPr>
                <w:b/>
                <w:color w:val="00A0DC"/>
                <w:sz w:val="20"/>
                <w:szCs w:val="20"/>
                <w:lang w:val="en-GB"/>
              </w:rPr>
            </w:pPr>
            <w:r>
              <w:rPr>
                <w:b/>
                <w:color w:val="00A0DC"/>
                <w:sz w:val="20"/>
                <w:szCs w:val="20"/>
                <w:lang w:val="en-GB"/>
              </w:rPr>
              <w:t xml:space="preserve">2c. </w:t>
            </w:r>
            <w:r w:rsidR="003814DE" w:rsidRPr="009477D0">
              <w:rPr>
                <w:b/>
                <w:color w:val="00A0DC"/>
                <w:sz w:val="20"/>
                <w:szCs w:val="20"/>
                <w:lang w:val="en-GB"/>
              </w:rPr>
              <w:t>Document</w:t>
            </w:r>
            <w:r w:rsidR="0066730E">
              <w:rPr>
                <w:b/>
                <w:color w:val="00A0DC"/>
                <w:sz w:val="20"/>
                <w:szCs w:val="20"/>
                <w:lang w:val="en-GB"/>
              </w:rPr>
              <w:t xml:space="preserve"> in strategic</w:t>
            </w:r>
            <w:r w:rsidR="003814DE" w:rsidRPr="009477D0">
              <w:rPr>
                <w:b/>
                <w:color w:val="00A0DC"/>
                <w:sz w:val="20"/>
                <w:szCs w:val="20"/>
                <w:lang w:val="en-GB"/>
              </w:rPr>
              <w:t xml:space="preserve"> plans</w:t>
            </w:r>
          </w:p>
        </w:tc>
        <w:tc>
          <w:tcPr>
            <w:tcW w:w="874" w:type="pct"/>
            <w:vAlign w:val="center"/>
          </w:tcPr>
          <w:p w14:paraId="7E9F8277" w14:textId="0ACA2F02" w:rsidR="003814DE" w:rsidRPr="009477D0" w:rsidRDefault="00830D5A" w:rsidP="00FC39BC">
            <w:pPr>
              <w:jc w:val="center"/>
              <w:rPr>
                <w:b/>
                <w:color w:val="00A0DC"/>
                <w:sz w:val="20"/>
                <w:szCs w:val="20"/>
                <w:lang w:val="en-GB"/>
              </w:rPr>
            </w:pPr>
            <w:r>
              <w:rPr>
                <w:b/>
                <w:color w:val="00A0DC"/>
                <w:sz w:val="20"/>
                <w:szCs w:val="20"/>
                <w:lang w:val="en-GB"/>
              </w:rPr>
              <w:t xml:space="preserve">2d. </w:t>
            </w:r>
            <w:r w:rsidR="003814DE" w:rsidRPr="009477D0">
              <w:rPr>
                <w:b/>
                <w:color w:val="00A0DC"/>
                <w:sz w:val="20"/>
                <w:szCs w:val="20"/>
                <w:lang w:val="en-GB"/>
              </w:rPr>
              <w:t>Formulate indicators</w:t>
            </w:r>
          </w:p>
        </w:tc>
      </w:tr>
      <w:tr w:rsidR="003814DE" w:rsidRPr="002D23F1" w14:paraId="1236AE1D" w14:textId="77777777" w:rsidTr="009477D0">
        <w:tc>
          <w:tcPr>
            <w:tcW w:w="728" w:type="pct"/>
          </w:tcPr>
          <w:p w14:paraId="62A2CBC0" w14:textId="77777777" w:rsidR="003814DE" w:rsidRPr="00694EED" w:rsidRDefault="00102D37" w:rsidP="003814DE">
            <w:pPr>
              <w:spacing w:before="40" w:after="40"/>
              <w:rPr>
                <w:rFonts w:ascii="Calibri" w:eastAsia="Calibri" w:hAnsi="Calibri" w:cs="Times New Roman"/>
                <w:iCs/>
                <w:sz w:val="20"/>
                <w:szCs w:val="20"/>
                <w:u w:val="single"/>
                <w:lang w:val="en-GB"/>
              </w:rPr>
            </w:pPr>
            <w:r w:rsidRPr="00694EED">
              <w:rPr>
                <w:rFonts w:ascii="Calibri" w:eastAsia="Calibri" w:hAnsi="Calibri" w:cs="Times New Roman"/>
                <w:iCs/>
                <w:sz w:val="20"/>
                <w:szCs w:val="20"/>
                <w:u w:val="single"/>
                <w:lang w:val="en-GB"/>
              </w:rPr>
              <w:t>Integration/ cross-sector matrices</w:t>
            </w:r>
          </w:p>
          <w:p w14:paraId="1A6F8029" w14:textId="749DF3EF" w:rsidR="00102D37" w:rsidRPr="00694EED" w:rsidRDefault="00102D37" w:rsidP="00551C0B">
            <w:pPr>
              <w:pStyle w:val="ListParagraph"/>
              <w:numPr>
                <w:ilvl w:val="0"/>
                <w:numId w:val="11"/>
              </w:numPr>
              <w:spacing w:before="80" w:after="80"/>
              <w:ind w:left="284" w:hanging="284"/>
              <w:rPr>
                <w:sz w:val="20"/>
                <w:szCs w:val="20"/>
                <w:lang w:val="en-GB"/>
              </w:rPr>
            </w:pPr>
            <w:r w:rsidRPr="00694EED">
              <w:rPr>
                <w:rFonts w:ascii="Calibri" w:eastAsia="Times New Roman" w:hAnsi="Calibri" w:cs="Times New Roman"/>
                <w:color w:val="000000"/>
                <w:sz w:val="20"/>
                <w:szCs w:val="20"/>
                <w:lang w:val="en-GB"/>
              </w:rPr>
              <w:t>Example</w:t>
            </w:r>
            <w:r w:rsidRPr="00694EED">
              <w:rPr>
                <w:sz w:val="20"/>
                <w:szCs w:val="20"/>
                <w:lang w:val="en-GB"/>
              </w:rPr>
              <w:t xml:space="preserve"> </w:t>
            </w:r>
            <w:hyperlink r:id="rId11" w:history="1">
              <w:r w:rsidRPr="00694EED">
                <w:rPr>
                  <w:rStyle w:val="Hyperlink"/>
                  <w:sz w:val="20"/>
                  <w:szCs w:val="20"/>
                  <w:lang w:val="en-GB"/>
                </w:rPr>
                <w:t>cross-sector matrix</w:t>
              </w:r>
            </w:hyperlink>
            <w:r w:rsidRPr="00694EED">
              <w:rPr>
                <w:sz w:val="20"/>
                <w:szCs w:val="20"/>
                <w:lang w:val="en-GB"/>
              </w:rPr>
              <w:t xml:space="preserve"> </w:t>
            </w:r>
            <w:r w:rsidR="00551C0B" w:rsidRPr="00694EED">
              <w:rPr>
                <w:rFonts w:ascii="Calibri" w:eastAsia="Times New Roman" w:hAnsi="Calibri" w:cs="Times New Roman"/>
                <w:color w:val="000000"/>
                <w:sz w:val="20"/>
                <w:szCs w:val="20"/>
                <w:lang w:val="en-GB"/>
              </w:rPr>
              <w:t>to support joint work and clarify accountabilities between clusters</w:t>
            </w:r>
            <w:r w:rsidR="00551C0B" w:rsidRPr="00694EED">
              <w:rPr>
                <w:sz w:val="20"/>
                <w:szCs w:val="20"/>
                <w:lang w:val="en-GB"/>
              </w:rPr>
              <w:t xml:space="preserve"> (</w:t>
            </w:r>
            <w:r w:rsidR="00551C0B" w:rsidRPr="00694EED">
              <w:rPr>
                <w:rFonts w:ascii="Calibri" w:eastAsia="Times New Roman" w:hAnsi="Calibri" w:cs="Times New Roman"/>
                <w:b/>
                <w:color w:val="000000"/>
                <w:sz w:val="20"/>
                <w:szCs w:val="20"/>
                <w:lang w:val="en-GB"/>
              </w:rPr>
              <w:t>South Sudan</w:t>
            </w:r>
            <w:r w:rsidR="00551C0B" w:rsidRPr="00694EED">
              <w:rPr>
                <w:rFonts w:ascii="Calibri" w:eastAsia="Times New Roman" w:hAnsi="Calibri" w:cs="Times New Roman"/>
                <w:color w:val="000000"/>
                <w:sz w:val="20"/>
                <w:szCs w:val="20"/>
                <w:lang w:val="en-GB"/>
              </w:rPr>
              <w:t xml:space="preserve">, </w:t>
            </w:r>
            <w:r w:rsidR="00551C0B" w:rsidRPr="00694EED">
              <w:rPr>
                <w:rFonts w:ascii="Calibri" w:eastAsia="Times New Roman" w:hAnsi="Calibri" w:cs="Times New Roman"/>
                <w:bCs/>
                <w:color w:val="000000"/>
                <w:sz w:val="20"/>
                <w:szCs w:val="20"/>
                <w:lang w:val="en-GB"/>
              </w:rPr>
              <w:t>2016/17</w:t>
            </w:r>
            <w:r w:rsidR="00551C0B" w:rsidRPr="00694EED">
              <w:rPr>
                <w:rFonts w:ascii="Calibri" w:eastAsia="Times New Roman" w:hAnsi="Calibri" w:cs="Times New Roman"/>
                <w:color w:val="000000"/>
                <w:sz w:val="20"/>
                <w:szCs w:val="20"/>
                <w:lang w:val="en-GB"/>
              </w:rPr>
              <w:t>)</w:t>
            </w:r>
          </w:p>
          <w:p w14:paraId="42945E97" w14:textId="77777777" w:rsidR="00102D37" w:rsidRPr="00694EED" w:rsidRDefault="00102D37" w:rsidP="00102D37">
            <w:pPr>
              <w:pStyle w:val="ListParagraph"/>
              <w:numPr>
                <w:ilvl w:val="0"/>
                <w:numId w:val="11"/>
              </w:numPr>
              <w:spacing w:before="80" w:after="80"/>
              <w:ind w:left="284" w:hanging="284"/>
              <w:rPr>
                <w:rFonts w:ascii="Calibri" w:eastAsia="Times New Roman" w:hAnsi="Calibri" w:cs="Times New Roman"/>
                <w:color w:val="000000"/>
                <w:sz w:val="20"/>
                <w:szCs w:val="20"/>
                <w:lang w:val="en-GB"/>
              </w:rPr>
            </w:pPr>
            <w:r w:rsidRPr="00694EED">
              <w:rPr>
                <w:sz w:val="20"/>
                <w:szCs w:val="20"/>
                <w:lang w:val="en-GB"/>
              </w:rPr>
              <w:t xml:space="preserve">Example </w:t>
            </w:r>
            <w:hyperlink r:id="rId12" w:history="1">
              <w:r w:rsidRPr="00694EED">
                <w:rPr>
                  <w:rStyle w:val="Hyperlink"/>
                  <w:sz w:val="20"/>
                  <w:szCs w:val="20"/>
                  <w:lang w:val="en-GB"/>
                </w:rPr>
                <w:t>WASH-Education Integration matrix</w:t>
              </w:r>
            </w:hyperlink>
            <w:r w:rsidRPr="00694EED">
              <w:rPr>
                <w:b/>
                <w:sz w:val="20"/>
                <w:szCs w:val="20"/>
                <w:lang w:val="en-GB"/>
              </w:rPr>
              <w:t xml:space="preserve"> (Somalia)</w:t>
            </w:r>
          </w:p>
          <w:p w14:paraId="17651B8A" w14:textId="12958526" w:rsidR="00102D37" w:rsidRPr="00694EED" w:rsidRDefault="00102D37" w:rsidP="003509ED">
            <w:pPr>
              <w:spacing w:after="160" w:line="259" w:lineRule="auto"/>
              <w:rPr>
                <w:rFonts w:ascii="Calibri" w:eastAsia="Calibri" w:hAnsi="Calibri" w:cs="Times New Roman"/>
                <w:iCs/>
                <w:sz w:val="20"/>
                <w:szCs w:val="20"/>
                <w:lang w:val="en-GB"/>
              </w:rPr>
            </w:pPr>
            <w:r w:rsidRPr="00694EED">
              <w:rPr>
                <w:rFonts w:ascii="Calibri" w:eastAsia="Calibri" w:hAnsi="Calibri" w:cs="Calibri"/>
                <w:i/>
                <w:iCs/>
                <w:sz w:val="20"/>
                <w:szCs w:val="20"/>
                <w:lang w:val="en-GB"/>
              </w:rPr>
              <w:t>Integration</w:t>
            </w:r>
            <w:r w:rsidRPr="00694EED">
              <w:rPr>
                <w:i/>
                <w:sz w:val="20"/>
                <w:szCs w:val="20"/>
                <w:lang w:val="en-GB"/>
              </w:rPr>
              <w:t xml:space="preserve"> </w:t>
            </w:r>
            <w:r w:rsidRPr="00694EED">
              <w:rPr>
                <w:rFonts w:ascii="Calibri" w:eastAsia="Calibri" w:hAnsi="Calibri" w:cs="Calibri"/>
                <w:i/>
                <w:iCs/>
                <w:sz w:val="20"/>
                <w:szCs w:val="20"/>
                <w:lang w:val="en-GB"/>
              </w:rPr>
              <w:t xml:space="preserve">Guidelines explored further under </w:t>
            </w:r>
            <w:hyperlink r:id="rId13" w:history="1">
              <w:r w:rsidR="009477D0" w:rsidRPr="00694EED">
                <w:rPr>
                  <w:rStyle w:val="Hyperlink"/>
                  <w:rFonts w:ascii="Calibri" w:eastAsia="Calibri" w:hAnsi="Calibri" w:cs="Calibri"/>
                  <w:i/>
                  <w:iCs/>
                  <w:color w:val="EB3741"/>
                  <w:sz w:val="20"/>
                  <w:szCs w:val="20"/>
                  <w:lang w:val="en-GB"/>
                </w:rPr>
                <w:t>Step</w:t>
              </w:r>
              <w:r w:rsidRPr="00694EED">
                <w:rPr>
                  <w:rStyle w:val="Hyperlink"/>
                  <w:rFonts w:ascii="Calibri" w:eastAsia="Calibri" w:hAnsi="Calibri" w:cs="Calibri"/>
                  <w:i/>
                  <w:iCs/>
                  <w:color w:val="EB3741"/>
                  <w:sz w:val="20"/>
                  <w:szCs w:val="20"/>
                  <w:lang w:val="en-GB"/>
                </w:rPr>
                <w:t xml:space="preserve"> </w:t>
              </w:r>
              <w:r w:rsidR="00551C0B" w:rsidRPr="00694EED">
                <w:rPr>
                  <w:rStyle w:val="Hyperlink"/>
                  <w:rFonts w:ascii="Calibri" w:eastAsia="Calibri" w:hAnsi="Calibri" w:cs="Calibri"/>
                  <w:i/>
                  <w:iCs/>
                  <w:color w:val="EB3741"/>
                  <w:sz w:val="20"/>
                  <w:szCs w:val="20"/>
                  <w:lang w:val="en-GB"/>
                </w:rPr>
                <w:t>4</w:t>
              </w:r>
              <w:r w:rsidRPr="00694EED">
                <w:rPr>
                  <w:rStyle w:val="Hyperlink"/>
                  <w:rFonts w:ascii="Calibri" w:eastAsia="Calibri" w:hAnsi="Calibri" w:cs="Calibri"/>
                  <w:i/>
                  <w:iCs/>
                  <w:color w:val="EB3741"/>
                  <w:sz w:val="20"/>
                  <w:szCs w:val="20"/>
                  <w:lang w:val="en-GB"/>
                </w:rPr>
                <w:t>: Joint Implementation</w:t>
              </w:r>
              <w:r w:rsidR="009477D0" w:rsidRPr="00694EED">
                <w:rPr>
                  <w:rStyle w:val="Hyperlink"/>
                  <w:rFonts w:ascii="Calibri" w:eastAsia="Calibri" w:hAnsi="Calibri" w:cs="Calibri"/>
                  <w:i/>
                  <w:iCs/>
                  <w:color w:val="EB3741"/>
                  <w:sz w:val="20"/>
                  <w:szCs w:val="20"/>
                  <w:lang w:val="en-GB"/>
                </w:rPr>
                <w:t xml:space="preserve"> and</w:t>
              </w:r>
              <w:r w:rsidRPr="00694EED">
                <w:rPr>
                  <w:rStyle w:val="Hyperlink"/>
                  <w:rFonts w:ascii="Calibri" w:eastAsia="Calibri" w:hAnsi="Calibri" w:cs="Calibri"/>
                  <w:i/>
                  <w:iCs/>
                  <w:color w:val="EB3741"/>
                  <w:sz w:val="20"/>
                  <w:szCs w:val="20"/>
                  <w:lang w:val="en-GB"/>
                </w:rPr>
                <w:t xml:space="preserve"> Monitoring</w:t>
              </w:r>
              <w:r w:rsidR="009477D0" w:rsidRPr="00694EED">
                <w:rPr>
                  <w:rStyle w:val="Hyperlink"/>
                  <w:rFonts w:ascii="Calibri" w:eastAsia="Calibri" w:hAnsi="Calibri" w:cs="Calibri"/>
                  <w:i/>
                  <w:iCs/>
                  <w:color w:val="EB3741"/>
                  <w:sz w:val="20"/>
                  <w:szCs w:val="20"/>
                  <w:lang w:val="en-GB"/>
                </w:rPr>
                <w:t>, and Evaluation of Collaboration</w:t>
              </w:r>
            </w:hyperlink>
          </w:p>
        </w:tc>
        <w:tc>
          <w:tcPr>
            <w:tcW w:w="680" w:type="pct"/>
          </w:tcPr>
          <w:p w14:paraId="7F86692D" w14:textId="77777777" w:rsidR="00551C0B" w:rsidRPr="00694EED" w:rsidRDefault="0004789E" w:rsidP="002D23F1">
            <w:pPr>
              <w:spacing w:before="80" w:after="80"/>
              <w:rPr>
                <w:b/>
                <w:sz w:val="20"/>
                <w:szCs w:val="20"/>
                <w:lang w:val="en-GB"/>
              </w:rPr>
            </w:pPr>
            <w:hyperlink r:id="rId14" w:history="1">
              <w:r w:rsidR="00551C0B" w:rsidRPr="00694EED">
                <w:rPr>
                  <w:rStyle w:val="Hyperlink"/>
                  <w:rFonts w:ascii="Calibri" w:eastAsia="Times New Roman" w:hAnsi="Calibri" w:cs="Times New Roman"/>
                  <w:sz w:val="20"/>
                  <w:szCs w:val="20"/>
                  <w:lang w:val="en-GB"/>
                </w:rPr>
                <w:t>Education</w:t>
              </w:r>
              <w:r w:rsidR="00551C0B" w:rsidRPr="00694EED">
                <w:rPr>
                  <w:rStyle w:val="Hyperlink"/>
                  <w:sz w:val="20"/>
                  <w:szCs w:val="20"/>
                  <w:lang w:val="en-GB"/>
                </w:rPr>
                <w:t xml:space="preserve"> transition plan</w:t>
              </w:r>
            </w:hyperlink>
            <w:r w:rsidR="00551C0B" w:rsidRPr="00694EED">
              <w:rPr>
                <w:sz w:val="20"/>
                <w:szCs w:val="20"/>
                <w:lang w:val="en-GB"/>
              </w:rPr>
              <w:t xml:space="preserve"> outlines partnership modalities with CP actors in delivering PSS in non-formal learning environments (</w:t>
            </w:r>
            <w:r w:rsidR="00551C0B" w:rsidRPr="00694EED">
              <w:rPr>
                <w:b/>
                <w:sz w:val="20"/>
                <w:szCs w:val="20"/>
                <w:lang w:val="en-GB"/>
              </w:rPr>
              <w:t>Iraq)</w:t>
            </w:r>
          </w:p>
          <w:p w14:paraId="3366F95B" w14:textId="77777777" w:rsidR="002D23F1" w:rsidRPr="00694EED" w:rsidRDefault="002D23F1" w:rsidP="002D23F1">
            <w:pPr>
              <w:spacing w:before="80" w:after="80"/>
              <w:rPr>
                <w:rFonts w:ascii="Calibri" w:eastAsia="Times New Roman" w:hAnsi="Calibri" w:cs="Times New Roman"/>
                <w:b/>
                <w:color w:val="000000"/>
                <w:sz w:val="20"/>
                <w:szCs w:val="20"/>
                <w:lang w:val="en-GB"/>
              </w:rPr>
            </w:pPr>
          </w:p>
          <w:p w14:paraId="21945318" w14:textId="291463C9" w:rsidR="00551C0B" w:rsidRPr="00694EED" w:rsidRDefault="00551C0B" w:rsidP="002D23F1">
            <w:pPr>
              <w:spacing w:before="80" w:after="80"/>
              <w:rPr>
                <w:b/>
                <w:sz w:val="20"/>
                <w:szCs w:val="20"/>
                <w:lang w:val="en-GB"/>
              </w:rPr>
            </w:pPr>
            <w:r w:rsidRPr="00694EED">
              <w:rPr>
                <w:rFonts w:ascii="Calibri" w:eastAsia="Times New Roman" w:hAnsi="Calibri" w:cs="Times New Roman"/>
                <w:b/>
                <w:color w:val="000000"/>
                <w:sz w:val="20"/>
                <w:szCs w:val="20"/>
                <w:lang w:val="en-GB"/>
              </w:rPr>
              <w:t>Iraq</w:t>
            </w:r>
            <w:r w:rsidRPr="00694EED">
              <w:rPr>
                <w:rFonts w:ascii="Calibri" w:eastAsia="Times New Roman" w:hAnsi="Calibri" w:cs="Times New Roman"/>
                <w:color w:val="000000"/>
                <w:sz w:val="20"/>
                <w:szCs w:val="20"/>
                <w:lang w:val="en-GB"/>
              </w:rPr>
              <w:t xml:space="preserve"> 2017 Minimum CP Package for Urban-Retaken areas provides guidance on collaborative response planning including in multi-use spaces; </w:t>
            </w:r>
            <w:r w:rsidRPr="00694EED">
              <w:rPr>
                <w:rFonts w:ascii="Calibri" w:eastAsia="Times New Roman" w:hAnsi="Calibri" w:cs="Times New Roman"/>
                <w:sz w:val="20"/>
                <w:szCs w:val="20"/>
                <w:lang w:val="en-GB"/>
              </w:rPr>
              <w:t>Iraq Education Cluster was on the WG developing this (</w:t>
            </w:r>
            <w:r w:rsidR="002D23F1" w:rsidRPr="00694EED">
              <w:rPr>
                <w:rFonts w:ascii="Calibri" w:eastAsia="Times New Roman" w:hAnsi="Calibri" w:cs="Times New Roman"/>
                <w:sz w:val="20"/>
                <w:szCs w:val="20"/>
                <w:lang w:val="en-GB"/>
              </w:rPr>
              <w:t xml:space="preserve">See </w:t>
            </w:r>
            <w:hyperlink r:id="rId15" w:history="1">
              <w:r w:rsidR="009477D0" w:rsidRPr="00694EED">
                <w:rPr>
                  <w:rStyle w:val="Hyperlink"/>
                  <w:rFonts w:ascii="Calibri" w:eastAsia="Times New Roman" w:hAnsi="Calibri" w:cs="Times New Roman"/>
                  <w:i/>
                  <w:iCs/>
                  <w:color w:val="EB3741"/>
                  <w:sz w:val="20"/>
                  <w:szCs w:val="20"/>
                  <w:lang w:val="en-GB"/>
                </w:rPr>
                <w:t>Step</w:t>
              </w:r>
              <w:r w:rsidR="002D23F1" w:rsidRPr="00694EED">
                <w:rPr>
                  <w:rStyle w:val="Hyperlink"/>
                  <w:rFonts w:ascii="Calibri" w:eastAsia="Times New Roman" w:hAnsi="Calibri" w:cs="Times New Roman"/>
                  <w:i/>
                  <w:iCs/>
                  <w:color w:val="EB3741"/>
                  <w:sz w:val="20"/>
                  <w:szCs w:val="20"/>
                  <w:lang w:val="en-GB"/>
                </w:rPr>
                <w:t xml:space="preserve"> 4</w:t>
              </w:r>
              <w:r w:rsidR="00694EED" w:rsidRPr="00694EED">
                <w:rPr>
                  <w:rStyle w:val="Hyperlink"/>
                  <w:rFonts w:ascii="Calibri" w:eastAsia="Times New Roman" w:hAnsi="Calibri" w:cs="Times New Roman"/>
                  <w:i/>
                  <w:iCs/>
                  <w:color w:val="EB3741"/>
                  <w:sz w:val="20"/>
                  <w:szCs w:val="20"/>
                  <w:lang w:val="en-GB"/>
                </w:rPr>
                <w:t>:</w:t>
              </w:r>
              <w:r w:rsidR="002D23F1" w:rsidRPr="00694EED">
                <w:rPr>
                  <w:rStyle w:val="Hyperlink"/>
                  <w:rFonts w:ascii="Calibri" w:eastAsia="Times New Roman" w:hAnsi="Calibri" w:cs="Times New Roman"/>
                  <w:i/>
                  <w:iCs/>
                  <w:color w:val="EB3741"/>
                  <w:sz w:val="20"/>
                  <w:szCs w:val="20"/>
                  <w:lang w:val="en-GB"/>
                </w:rPr>
                <w:t xml:space="preserve"> Joint I</w:t>
              </w:r>
              <w:r w:rsidRPr="00694EED">
                <w:rPr>
                  <w:rStyle w:val="Hyperlink"/>
                  <w:rFonts w:ascii="Calibri" w:eastAsia="Times New Roman" w:hAnsi="Calibri" w:cs="Times New Roman"/>
                  <w:i/>
                  <w:iCs/>
                  <w:color w:val="EB3741"/>
                  <w:sz w:val="20"/>
                  <w:szCs w:val="20"/>
                  <w:lang w:val="en-GB"/>
                </w:rPr>
                <w:t>mplementation</w:t>
              </w:r>
              <w:r w:rsidR="001B6C5D" w:rsidRPr="00694EED">
                <w:rPr>
                  <w:rStyle w:val="Hyperlink"/>
                  <w:rFonts w:ascii="Calibri" w:eastAsia="Times New Roman" w:hAnsi="Calibri" w:cs="Times New Roman"/>
                  <w:i/>
                  <w:iCs/>
                  <w:color w:val="EB3741"/>
                  <w:sz w:val="20"/>
                  <w:szCs w:val="20"/>
                  <w:lang w:val="en-GB"/>
                </w:rPr>
                <w:t xml:space="preserve"> and Monitoring, and Evaluation of Collaboration</w:t>
              </w:r>
            </w:hyperlink>
            <w:r w:rsidRPr="00694EED">
              <w:rPr>
                <w:rFonts w:ascii="Calibri" w:eastAsia="Times New Roman" w:hAnsi="Calibri" w:cs="Times New Roman"/>
                <w:sz w:val="20"/>
                <w:szCs w:val="20"/>
                <w:lang w:val="en-GB"/>
              </w:rPr>
              <w:t>)</w:t>
            </w:r>
          </w:p>
          <w:p w14:paraId="309EB8B6" w14:textId="43B8BD06" w:rsidR="003814DE" w:rsidRPr="00694EED" w:rsidRDefault="003814DE" w:rsidP="003814DE">
            <w:pPr>
              <w:spacing w:before="40" w:after="40"/>
              <w:rPr>
                <w:color w:val="008080"/>
                <w:sz w:val="20"/>
                <w:szCs w:val="20"/>
                <w:lang w:val="en-GB"/>
              </w:rPr>
            </w:pPr>
          </w:p>
        </w:tc>
        <w:tc>
          <w:tcPr>
            <w:tcW w:w="2718" w:type="pct"/>
          </w:tcPr>
          <w:p w14:paraId="3C162F7A" w14:textId="5D57B01A" w:rsidR="003814DE" w:rsidRPr="002D23F1" w:rsidRDefault="003814DE" w:rsidP="003814DE">
            <w:pPr>
              <w:spacing w:before="40" w:after="80"/>
              <w:rPr>
                <w:sz w:val="20"/>
                <w:szCs w:val="20"/>
                <w:u w:val="single"/>
                <w:lang w:val="en-GB"/>
              </w:rPr>
            </w:pPr>
            <w:r w:rsidRPr="002D23F1">
              <w:rPr>
                <w:sz w:val="20"/>
                <w:szCs w:val="20"/>
                <w:u w:val="single"/>
                <w:lang w:val="en-GB"/>
              </w:rPr>
              <w:t>Joint Strategy / Response Plan Development</w:t>
            </w:r>
          </w:p>
          <w:p w14:paraId="3A282427" w14:textId="77777777" w:rsidR="003814DE" w:rsidRPr="002D23F1" w:rsidRDefault="0004789E" w:rsidP="003814DE">
            <w:pPr>
              <w:pStyle w:val="ListParagraph"/>
              <w:numPr>
                <w:ilvl w:val="0"/>
                <w:numId w:val="11"/>
              </w:numPr>
              <w:spacing w:before="80" w:after="80"/>
              <w:ind w:left="284" w:hanging="284"/>
              <w:rPr>
                <w:sz w:val="20"/>
                <w:szCs w:val="20"/>
                <w:lang w:val="en-GB"/>
              </w:rPr>
            </w:pPr>
            <w:hyperlink r:id="rId16" w:history="1">
              <w:r w:rsidR="003814DE" w:rsidRPr="002D23F1">
                <w:rPr>
                  <w:rStyle w:val="Hyperlink"/>
                  <w:rFonts w:ascii="Calibri" w:eastAsia="Times New Roman" w:hAnsi="Calibri" w:cs="Times New Roman"/>
                  <w:sz w:val="20"/>
                  <w:szCs w:val="20"/>
                  <w:lang w:val="en-GB"/>
                </w:rPr>
                <w:t xml:space="preserve">Integrated Education – Child </w:t>
              </w:r>
              <w:r w:rsidR="003814DE" w:rsidRPr="002D23F1">
                <w:rPr>
                  <w:rStyle w:val="Hyperlink"/>
                  <w:sz w:val="20"/>
                  <w:szCs w:val="20"/>
                  <w:lang w:val="en-GB"/>
                </w:rPr>
                <w:t>Protection</w:t>
              </w:r>
              <w:r w:rsidR="003814DE" w:rsidRPr="002D23F1">
                <w:rPr>
                  <w:rStyle w:val="Hyperlink"/>
                  <w:rFonts w:ascii="Calibri" w:eastAsia="Times New Roman" w:hAnsi="Calibri" w:cs="Times New Roman"/>
                  <w:sz w:val="20"/>
                  <w:szCs w:val="20"/>
                  <w:lang w:val="en-GB"/>
                </w:rPr>
                <w:t xml:space="preserve"> Response Framework</w:t>
              </w:r>
            </w:hyperlink>
            <w:r w:rsidR="003814DE" w:rsidRPr="002D23F1">
              <w:rPr>
                <w:rFonts w:ascii="Calibri" w:eastAsia="Times New Roman" w:hAnsi="Calibri" w:cs="Times New Roman"/>
                <w:color w:val="000000"/>
                <w:sz w:val="20"/>
                <w:szCs w:val="20"/>
                <w:lang w:val="en-GB"/>
              </w:rPr>
              <w:t xml:space="preserve"> (</w:t>
            </w:r>
            <w:r w:rsidR="003814DE" w:rsidRPr="002D23F1">
              <w:rPr>
                <w:rFonts w:ascii="Calibri" w:eastAsia="Times New Roman" w:hAnsi="Calibri" w:cs="Times New Roman"/>
                <w:b/>
                <w:color w:val="000000"/>
                <w:sz w:val="20"/>
                <w:szCs w:val="20"/>
                <w:lang w:val="en-GB"/>
              </w:rPr>
              <w:t>Somalia</w:t>
            </w:r>
            <w:r w:rsidR="003814DE" w:rsidRPr="002D23F1">
              <w:rPr>
                <w:rFonts w:ascii="Calibri" w:eastAsia="Times New Roman" w:hAnsi="Calibri" w:cs="Times New Roman"/>
                <w:color w:val="000000"/>
                <w:sz w:val="20"/>
                <w:szCs w:val="20"/>
                <w:lang w:val="en-GB"/>
              </w:rPr>
              <w:t>)</w:t>
            </w:r>
          </w:p>
          <w:p w14:paraId="1C9BB248" w14:textId="60231D38" w:rsidR="003814DE" w:rsidRPr="002D23F1" w:rsidRDefault="003814DE" w:rsidP="003814DE">
            <w:pPr>
              <w:pStyle w:val="ListParagraph"/>
              <w:numPr>
                <w:ilvl w:val="0"/>
                <w:numId w:val="11"/>
              </w:numPr>
              <w:spacing w:before="80" w:after="80"/>
              <w:ind w:left="284" w:hanging="284"/>
              <w:rPr>
                <w:sz w:val="20"/>
                <w:szCs w:val="20"/>
                <w:lang w:val="en-GB"/>
              </w:rPr>
            </w:pPr>
            <w:r w:rsidRPr="002D23F1">
              <w:rPr>
                <w:sz w:val="20"/>
                <w:szCs w:val="20"/>
                <w:lang w:val="en-GB"/>
              </w:rPr>
              <w:t xml:space="preserve">Education and CP </w:t>
            </w:r>
            <w:r w:rsidR="001937B0" w:rsidRPr="002D23F1">
              <w:rPr>
                <w:sz w:val="20"/>
                <w:szCs w:val="20"/>
                <w:lang w:val="en-GB"/>
              </w:rPr>
              <w:t>Coordinators</w:t>
            </w:r>
            <w:r w:rsidRPr="002D23F1">
              <w:rPr>
                <w:sz w:val="20"/>
                <w:szCs w:val="20"/>
                <w:lang w:val="en-GB"/>
              </w:rPr>
              <w:t xml:space="preserve"> agreed with the HC that they work to a </w:t>
            </w:r>
            <w:hyperlink r:id="rId17" w:history="1">
              <w:r w:rsidRPr="002D23F1">
                <w:rPr>
                  <w:rStyle w:val="Hyperlink"/>
                  <w:sz w:val="20"/>
                  <w:szCs w:val="20"/>
                  <w:lang w:val="en-GB"/>
                </w:rPr>
                <w:t>joint strategy for the 2019 HPF</w:t>
              </w:r>
            </w:hyperlink>
            <w:r w:rsidRPr="002D23F1">
              <w:rPr>
                <w:sz w:val="20"/>
                <w:szCs w:val="20"/>
                <w:lang w:val="en-GB"/>
              </w:rPr>
              <w:t>. In specific response plans, (Hebron-H2), a joint response plan was developed (</w:t>
            </w:r>
            <w:r w:rsidRPr="002D23F1">
              <w:rPr>
                <w:b/>
                <w:sz w:val="20"/>
                <w:szCs w:val="20"/>
                <w:lang w:val="en-GB"/>
              </w:rPr>
              <w:t>oPt)</w:t>
            </w:r>
          </w:p>
          <w:p w14:paraId="5B9209CC" w14:textId="4942EE88" w:rsidR="003814DE" w:rsidRPr="002D23F1" w:rsidRDefault="0004789E" w:rsidP="00093F58">
            <w:pPr>
              <w:pStyle w:val="ListParagraph"/>
              <w:numPr>
                <w:ilvl w:val="0"/>
                <w:numId w:val="11"/>
              </w:numPr>
              <w:spacing w:before="80" w:after="80"/>
              <w:ind w:left="284" w:hanging="284"/>
              <w:rPr>
                <w:sz w:val="20"/>
                <w:szCs w:val="20"/>
                <w:lang w:val="en-GB"/>
              </w:rPr>
            </w:pPr>
            <w:hyperlink r:id="rId18" w:history="1">
              <w:r w:rsidR="003814DE" w:rsidRPr="002D23F1">
                <w:rPr>
                  <w:rStyle w:val="Hyperlink"/>
                  <w:sz w:val="20"/>
                  <w:szCs w:val="20"/>
                  <w:lang w:val="en-GB"/>
                </w:rPr>
                <w:t>Joint</w:t>
              </w:r>
              <w:r w:rsidR="003814DE" w:rsidRPr="002D23F1">
                <w:rPr>
                  <w:rStyle w:val="Hyperlink"/>
                  <w:rFonts w:ascii="Calibri" w:eastAsia="Times New Roman" w:hAnsi="Calibri" w:cs="Times New Roman"/>
                  <w:sz w:val="20"/>
                  <w:szCs w:val="20"/>
                  <w:lang w:val="en-GB"/>
                </w:rPr>
                <w:t xml:space="preserve"> Response Plan</w:t>
              </w:r>
            </w:hyperlink>
            <w:r w:rsidR="003814DE" w:rsidRPr="002D23F1">
              <w:rPr>
                <w:rFonts w:ascii="Calibri" w:eastAsia="Times New Roman" w:hAnsi="Calibri" w:cs="Times New Roman"/>
                <w:color w:val="000000"/>
                <w:sz w:val="20"/>
                <w:szCs w:val="20"/>
                <w:lang w:val="en-GB"/>
              </w:rPr>
              <w:t xml:space="preserve"> (</w:t>
            </w:r>
            <w:r w:rsidR="003814DE" w:rsidRPr="002D23F1">
              <w:rPr>
                <w:rFonts w:ascii="Calibri" w:eastAsia="Times New Roman" w:hAnsi="Calibri" w:cs="Times New Roman"/>
                <w:b/>
                <w:color w:val="000000"/>
                <w:sz w:val="20"/>
                <w:szCs w:val="20"/>
                <w:lang w:val="en-GB"/>
              </w:rPr>
              <w:t>DRC</w:t>
            </w:r>
            <w:r w:rsidR="003814DE" w:rsidRPr="002D23F1">
              <w:rPr>
                <w:rFonts w:ascii="Calibri" w:eastAsia="Times New Roman" w:hAnsi="Calibri" w:cs="Times New Roman"/>
                <w:color w:val="000000"/>
                <w:sz w:val="20"/>
                <w:szCs w:val="20"/>
                <w:lang w:val="en-GB"/>
              </w:rPr>
              <w:t xml:space="preserve"> – </w:t>
            </w:r>
            <w:proofErr w:type="spellStart"/>
            <w:r w:rsidR="003814DE" w:rsidRPr="002D23F1">
              <w:rPr>
                <w:rFonts w:ascii="Calibri" w:eastAsia="Times New Roman" w:hAnsi="Calibri" w:cs="Times New Roman"/>
                <w:color w:val="000000"/>
                <w:sz w:val="20"/>
                <w:szCs w:val="20"/>
                <w:lang w:val="en-GB"/>
              </w:rPr>
              <w:t>Kasaii</w:t>
            </w:r>
            <w:proofErr w:type="spellEnd"/>
            <w:r w:rsidR="003814DE" w:rsidRPr="002D23F1">
              <w:rPr>
                <w:rFonts w:ascii="Calibri" w:eastAsia="Times New Roman" w:hAnsi="Calibri" w:cs="Times New Roman"/>
                <w:color w:val="000000"/>
                <w:sz w:val="20"/>
                <w:szCs w:val="20"/>
                <w:lang w:val="en-GB"/>
              </w:rPr>
              <w:t>)</w:t>
            </w:r>
            <w:r w:rsidR="00093F58" w:rsidRPr="002D23F1">
              <w:rPr>
                <w:rFonts w:ascii="Calibri" w:eastAsia="Times New Roman" w:hAnsi="Calibri" w:cs="Times New Roman"/>
                <w:color w:val="000000"/>
                <w:sz w:val="20"/>
                <w:szCs w:val="20"/>
                <w:lang w:val="en-GB"/>
              </w:rPr>
              <w:t>, Joint Intervention Plan, Joint Result Framework, (</w:t>
            </w:r>
            <w:r w:rsidR="00093F58" w:rsidRPr="002D23F1">
              <w:rPr>
                <w:rFonts w:ascii="Calibri" w:eastAsia="Times New Roman" w:hAnsi="Calibri" w:cs="Times New Roman"/>
                <w:b/>
                <w:color w:val="000000"/>
                <w:sz w:val="20"/>
                <w:szCs w:val="20"/>
                <w:lang w:val="en-GB"/>
              </w:rPr>
              <w:t xml:space="preserve">DRC – </w:t>
            </w:r>
            <w:proofErr w:type="spellStart"/>
            <w:r w:rsidR="00093F58" w:rsidRPr="002D23F1">
              <w:rPr>
                <w:rFonts w:ascii="Calibri" w:eastAsia="Times New Roman" w:hAnsi="Calibri" w:cs="Times New Roman"/>
                <w:color w:val="000000"/>
                <w:sz w:val="20"/>
                <w:szCs w:val="20"/>
                <w:lang w:val="en-GB"/>
              </w:rPr>
              <w:t>Kasaï</w:t>
            </w:r>
            <w:proofErr w:type="spellEnd"/>
            <w:r w:rsidR="00093F58" w:rsidRPr="002D23F1">
              <w:rPr>
                <w:rFonts w:ascii="Calibri" w:eastAsia="Times New Roman" w:hAnsi="Calibri" w:cs="Times New Roman"/>
                <w:color w:val="000000"/>
                <w:sz w:val="20"/>
                <w:szCs w:val="20"/>
                <w:lang w:val="en-GB"/>
              </w:rPr>
              <w:t>)</w:t>
            </w:r>
          </w:p>
          <w:p w14:paraId="0E473972" w14:textId="5D7373FF" w:rsidR="003814DE" w:rsidRPr="002D23F1" w:rsidRDefault="003814DE" w:rsidP="002D23F1">
            <w:pPr>
              <w:rPr>
                <w:sz w:val="20"/>
                <w:szCs w:val="20"/>
                <w:u w:val="single"/>
                <w:lang w:val="en-GB"/>
              </w:rPr>
            </w:pPr>
          </w:p>
          <w:p w14:paraId="3135F692" w14:textId="75F32B32" w:rsidR="003814DE" w:rsidRPr="002D23F1" w:rsidRDefault="003814DE" w:rsidP="003814DE">
            <w:pPr>
              <w:spacing w:before="80" w:after="80"/>
              <w:rPr>
                <w:bCs/>
                <w:sz w:val="20"/>
                <w:szCs w:val="20"/>
                <w:u w:val="single"/>
                <w:lang w:val="en-GB"/>
              </w:rPr>
            </w:pPr>
            <w:r w:rsidRPr="002D23F1">
              <w:rPr>
                <w:bCs/>
                <w:sz w:val="20"/>
                <w:szCs w:val="20"/>
                <w:u w:val="single"/>
                <w:lang w:val="en-GB"/>
              </w:rPr>
              <w:t>Collaboration during single sector strategy / response plan development</w:t>
            </w:r>
          </w:p>
          <w:p w14:paraId="075098E4" w14:textId="78057A43" w:rsidR="003814DE" w:rsidRPr="002D23F1" w:rsidRDefault="003814DE" w:rsidP="003814DE">
            <w:pPr>
              <w:pStyle w:val="ListParagraph"/>
              <w:numPr>
                <w:ilvl w:val="0"/>
                <w:numId w:val="11"/>
              </w:numPr>
              <w:spacing w:before="80" w:after="80"/>
              <w:ind w:left="284" w:hanging="284"/>
              <w:rPr>
                <w:sz w:val="20"/>
                <w:szCs w:val="20"/>
                <w:lang w:val="en-GB"/>
              </w:rPr>
            </w:pPr>
            <w:r w:rsidRPr="002D23F1">
              <w:rPr>
                <w:sz w:val="20"/>
                <w:szCs w:val="20"/>
                <w:lang w:val="en-GB"/>
              </w:rPr>
              <w:t>Education Cluster invited CP colleagues to strategy development training (2019) and were involved in the EC strategy development –</w:t>
            </w:r>
            <w:r w:rsidR="003509ED" w:rsidRPr="002D23F1">
              <w:rPr>
                <w:sz w:val="20"/>
                <w:szCs w:val="20"/>
                <w:lang w:val="en-GB"/>
              </w:rPr>
              <w:t xml:space="preserve"> </w:t>
            </w:r>
            <w:r w:rsidRPr="002D23F1">
              <w:rPr>
                <w:sz w:val="20"/>
                <w:szCs w:val="20"/>
                <w:lang w:val="en-GB"/>
              </w:rPr>
              <w:t>response priorities were developed with CP actors’ and sector coordinator’s involvement (</w:t>
            </w:r>
            <w:r w:rsidRPr="002D23F1">
              <w:rPr>
                <w:b/>
                <w:sz w:val="20"/>
                <w:szCs w:val="20"/>
                <w:lang w:val="en-GB"/>
              </w:rPr>
              <w:t>Ukraine, oPt</w:t>
            </w:r>
            <w:r w:rsidRPr="002D23F1">
              <w:rPr>
                <w:sz w:val="20"/>
                <w:szCs w:val="20"/>
                <w:lang w:val="en-GB"/>
              </w:rPr>
              <w:t>)</w:t>
            </w:r>
          </w:p>
          <w:p w14:paraId="3A062405" w14:textId="77777777" w:rsidR="003814DE" w:rsidRPr="002D23F1" w:rsidRDefault="003814DE" w:rsidP="003814DE">
            <w:pPr>
              <w:pStyle w:val="ListParagraph"/>
              <w:numPr>
                <w:ilvl w:val="0"/>
                <w:numId w:val="11"/>
              </w:numPr>
              <w:spacing w:before="80" w:after="80"/>
              <w:ind w:left="284" w:hanging="284"/>
              <w:rPr>
                <w:sz w:val="20"/>
                <w:szCs w:val="20"/>
                <w:lang w:val="en-GB"/>
              </w:rPr>
            </w:pPr>
            <w:r w:rsidRPr="002D23F1">
              <w:rPr>
                <w:sz w:val="20"/>
                <w:szCs w:val="20"/>
                <w:lang w:val="en-GB"/>
              </w:rPr>
              <w:t>CP Strategy development in Central Sahel (Mali, Burkina Faso, Niger) invited Education colleagues; resulting in an integrated operational plan (</w:t>
            </w:r>
            <w:r w:rsidRPr="002D23F1">
              <w:rPr>
                <w:b/>
                <w:sz w:val="20"/>
                <w:szCs w:val="20"/>
                <w:lang w:val="en-GB"/>
              </w:rPr>
              <w:t>WCA)</w:t>
            </w:r>
          </w:p>
          <w:p w14:paraId="18A09F56" w14:textId="05305DBF" w:rsidR="003814DE" w:rsidRPr="002D23F1" w:rsidRDefault="003814DE" w:rsidP="003814DE">
            <w:pPr>
              <w:pStyle w:val="ListParagraph"/>
              <w:numPr>
                <w:ilvl w:val="0"/>
                <w:numId w:val="11"/>
              </w:numPr>
              <w:spacing w:before="80" w:after="80"/>
              <w:ind w:left="284" w:hanging="284"/>
              <w:rPr>
                <w:sz w:val="20"/>
                <w:szCs w:val="20"/>
                <w:lang w:val="en-GB"/>
              </w:rPr>
            </w:pPr>
            <w:r w:rsidRPr="002D23F1">
              <w:rPr>
                <w:sz w:val="20"/>
                <w:szCs w:val="20"/>
                <w:lang w:val="en-GB"/>
              </w:rPr>
              <w:t>Each sector reviews the other’s HRP chapter to ensure complementarity, including to ensure alignment priority response activities (</w:t>
            </w:r>
            <w:r w:rsidRPr="002D23F1">
              <w:rPr>
                <w:b/>
                <w:sz w:val="20"/>
                <w:szCs w:val="20"/>
                <w:lang w:val="en-GB"/>
              </w:rPr>
              <w:t>oPt</w:t>
            </w:r>
            <w:r w:rsidRPr="002D23F1">
              <w:rPr>
                <w:sz w:val="20"/>
                <w:szCs w:val="20"/>
                <w:lang w:val="en-GB"/>
              </w:rPr>
              <w:t xml:space="preserve">) </w:t>
            </w:r>
          </w:p>
          <w:p w14:paraId="650D7464" w14:textId="77777777" w:rsidR="003814DE" w:rsidRPr="002D23F1" w:rsidRDefault="003814DE" w:rsidP="003814DE">
            <w:pPr>
              <w:pStyle w:val="ListParagraph"/>
              <w:numPr>
                <w:ilvl w:val="0"/>
                <w:numId w:val="11"/>
              </w:numPr>
              <w:spacing w:before="80" w:after="80"/>
              <w:ind w:left="284" w:hanging="284"/>
              <w:rPr>
                <w:sz w:val="20"/>
                <w:szCs w:val="20"/>
                <w:lang w:val="en-GB"/>
              </w:rPr>
            </w:pPr>
            <w:r w:rsidRPr="002D23F1">
              <w:rPr>
                <w:sz w:val="20"/>
                <w:szCs w:val="20"/>
                <w:lang w:val="en-GB"/>
              </w:rPr>
              <w:t>Complementary activities identified, planned, and included in HRP, noting the complementary roles and responsibilities of each Cluster </w:t>
            </w:r>
          </w:p>
          <w:p w14:paraId="50370B7A" w14:textId="590E8A6C" w:rsidR="003814DE" w:rsidRPr="002D23F1" w:rsidRDefault="003814DE" w:rsidP="003814DE">
            <w:pPr>
              <w:pStyle w:val="ListParagraph"/>
              <w:numPr>
                <w:ilvl w:val="0"/>
                <w:numId w:val="14"/>
              </w:numPr>
              <w:spacing w:before="80" w:after="80"/>
              <w:rPr>
                <w:sz w:val="20"/>
                <w:szCs w:val="20"/>
                <w:lang w:val="en-GB"/>
              </w:rPr>
            </w:pPr>
            <w:r w:rsidRPr="002D23F1">
              <w:rPr>
                <w:sz w:val="20"/>
                <w:szCs w:val="20"/>
                <w:lang w:val="en-GB"/>
              </w:rPr>
              <w:t>Education HRP includes teacher training requirements on CP and multi-use space guidance</w:t>
            </w:r>
            <w:r w:rsidR="003509ED" w:rsidRPr="002D23F1">
              <w:rPr>
                <w:sz w:val="20"/>
                <w:szCs w:val="20"/>
                <w:lang w:val="en-GB"/>
              </w:rPr>
              <w:t xml:space="preserve"> (</w:t>
            </w:r>
            <w:r w:rsidR="003509ED" w:rsidRPr="002D23F1">
              <w:rPr>
                <w:b/>
                <w:sz w:val="20"/>
                <w:szCs w:val="20"/>
                <w:lang w:val="en-GB"/>
              </w:rPr>
              <w:t>Afghanistan</w:t>
            </w:r>
            <w:r w:rsidR="003509ED" w:rsidRPr="002D23F1">
              <w:rPr>
                <w:bCs/>
                <w:sz w:val="20"/>
                <w:szCs w:val="20"/>
                <w:lang w:val="en-GB"/>
              </w:rPr>
              <w:t>)</w:t>
            </w:r>
          </w:p>
          <w:p w14:paraId="6AC0176B" w14:textId="01258AF4" w:rsidR="003814DE" w:rsidRPr="002D23F1" w:rsidRDefault="003814DE" w:rsidP="003814DE">
            <w:pPr>
              <w:pStyle w:val="ListParagraph"/>
              <w:numPr>
                <w:ilvl w:val="0"/>
                <w:numId w:val="14"/>
              </w:numPr>
              <w:spacing w:before="80" w:after="80"/>
              <w:rPr>
                <w:sz w:val="20"/>
                <w:szCs w:val="20"/>
                <w:lang w:val="en-GB"/>
              </w:rPr>
            </w:pPr>
            <w:r w:rsidRPr="002D23F1">
              <w:rPr>
                <w:sz w:val="20"/>
                <w:szCs w:val="20"/>
                <w:lang w:val="en-GB"/>
              </w:rPr>
              <w:t>HRP indicates CP will provide technical support to education cluster on CP mechanisms in schools, ERW education, cross-sectoral emergency case management</w:t>
            </w:r>
            <w:r w:rsidR="003509ED" w:rsidRPr="002D23F1">
              <w:rPr>
                <w:sz w:val="20"/>
                <w:szCs w:val="20"/>
                <w:lang w:val="en-GB"/>
              </w:rPr>
              <w:t xml:space="preserve"> (</w:t>
            </w:r>
            <w:r w:rsidR="003509ED" w:rsidRPr="002D23F1">
              <w:rPr>
                <w:b/>
                <w:sz w:val="20"/>
                <w:szCs w:val="20"/>
                <w:lang w:val="en-GB"/>
              </w:rPr>
              <w:t>oPt</w:t>
            </w:r>
            <w:r w:rsidR="003509ED" w:rsidRPr="002D23F1">
              <w:rPr>
                <w:sz w:val="20"/>
                <w:szCs w:val="20"/>
                <w:lang w:val="en-GB"/>
              </w:rPr>
              <w:t>)</w:t>
            </w:r>
          </w:p>
          <w:p w14:paraId="664F4460" w14:textId="1ABD1FD9" w:rsidR="003814DE" w:rsidRPr="002D23F1" w:rsidRDefault="003814DE" w:rsidP="003814DE">
            <w:pPr>
              <w:pStyle w:val="ListParagraph"/>
              <w:numPr>
                <w:ilvl w:val="0"/>
                <w:numId w:val="14"/>
              </w:numPr>
              <w:spacing w:before="80" w:after="80"/>
              <w:rPr>
                <w:sz w:val="20"/>
                <w:szCs w:val="20"/>
                <w:lang w:val="en-GB"/>
              </w:rPr>
            </w:pPr>
            <w:r w:rsidRPr="002D23F1">
              <w:rPr>
                <w:sz w:val="20"/>
                <w:szCs w:val="20"/>
                <w:lang w:val="en-GB"/>
              </w:rPr>
              <w:t>SOP for school-based interventions) – Clusters and partners are clear that any school</w:t>
            </w:r>
            <w:r w:rsidR="003509ED" w:rsidRPr="002D23F1">
              <w:rPr>
                <w:sz w:val="20"/>
                <w:szCs w:val="20"/>
                <w:lang w:val="en-GB"/>
              </w:rPr>
              <w:t>-</w:t>
            </w:r>
            <w:r w:rsidRPr="002D23F1">
              <w:rPr>
                <w:sz w:val="20"/>
                <w:szCs w:val="20"/>
                <w:lang w:val="en-GB"/>
              </w:rPr>
              <w:t xml:space="preserve">based interventions should be coordinated through the education cluster. This is stipulated in the HRP, and partners wishing to implement any activities schools are required to join the Education Cluster first </w:t>
            </w:r>
            <w:r w:rsidR="003509ED" w:rsidRPr="002D23F1">
              <w:rPr>
                <w:sz w:val="20"/>
                <w:szCs w:val="20"/>
                <w:lang w:val="en-GB"/>
              </w:rPr>
              <w:t>(</w:t>
            </w:r>
            <w:r w:rsidR="003509ED" w:rsidRPr="002D23F1">
              <w:rPr>
                <w:b/>
                <w:sz w:val="20"/>
                <w:szCs w:val="20"/>
                <w:lang w:val="en-GB"/>
              </w:rPr>
              <w:t>oPt</w:t>
            </w:r>
            <w:r w:rsidR="003509ED" w:rsidRPr="002D23F1">
              <w:rPr>
                <w:sz w:val="20"/>
                <w:szCs w:val="20"/>
                <w:lang w:val="en-GB"/>
              </w:rPr>
              <w:t>)</w:t>
            </w:r>
          </w:p>
          <w:p w14:paraId="09FF1548" w14:textId="421F2E26" w:rsidR="003814DE" w:rsidRPr="002D23F1" w:rsidRDefault="0004789E" w:rsidP="003814DE">
            <w:pPr>
              <w:pStyle w:val="ListParagraph"/>
              <w:numPr>
                <w:ilvl w:val="0"/>
                <w:numId w:val="14"/>
              </w:numPr>
              <w:spacing w:before="80" w:after="80"/>
              <w:rPr>
                <w:b/>
                <w:sz w:val="20"/>
                <w:szCs w:val="20"/>
                <w:lang w:val="en-GB"/>
              </w:rPr>
            </w:pPr>
            <w:hyperlink r:id="rId19" w:history="1">
              <w:r w:rsidR="003814DE" w:rsidRPr="002D23F1">
                <w:rPr>
                  <w:rStyle w:val="Hyperlink"/>
                  <w:sz w:val="20"/>
                  <w:szCs w:val="20"/>
                  <w:lang w:val="en-GB"/>
                </w:rPr>
                <w:t>Education transition plan</w:t>
              </w:r>
            </w:hyperlink>
            <w:r w:rsidR="003814DE" w:rsidRPr="002D23F1">
              <w:rPr>
                <w:sz w:val="20"/>
                <w:szCs w:val="20"/>
                <w:lang w:val="en-GB"/>
              </w:rPr>
              <w:t xml:space="preserve"> outlines partnership modalities with CP actors in delivering PSS in non-formal learning environments, </w:t>
            </w:r>
            <w:r w:rsidR="003509ED" w:rsidRPr="002D23F1">
              <w:rPr>
                <w:sz w:val="20"/>
                <w:szCs w:val="20"/>
                <w:lang w:val="en-GB"/>
              </w:rPr>
              <w:t>(</w:t>
            </w:r>
            <w:r w:rsidR="003509ED" w:rsidRPr="002D23F1">
              <w:rPr>
                <w:b/>
                <w:bCs/>
                <w:sz w:val="20"/>
                <w:szCs w:val="20"/>
                <w:lang w:val="en-GB"/>
              </w:rPr>
              <w:t>Iraq</w:t>
            </w:r>
            <w:r w:rsidR="003509ED" w:rsidRPr="002D23F1">
              <w:rPr>
                <w:sz w:val="20"/>
                <w:szCs w:val="20"/>
                <w:lang w:val="en-GB"/>
              </w:rPr>
              <w:t xml:space="preserve">) </w:t>
            </w:r>
            <w:r w:rsidR="003814DE" w:rsidRPr="002D23F1">
              <w:rPr>
                <w:sz w:val="20"/>
                <w:szCs w:val="20"/>
                <w:lang w:val="en-GB"/>
              </w:rPr>
              <w:t>i.e.</w:t>
            </w:r>
          </w:p>
          <w:p w14:paraId="19E02F0B" w14:textId="77777777" w:rsidR="003814DE" w:rsidRPr="002D23F1" w:rsidRDefault="003814DE" w:rsidP="003814DE">
            <w:pPr>
              <w:spacing w:before="80" w:after="80"/>
              <w:ind w:left="360" w:firstLine="338"/>
              <w:rPr>
                <w:b/>
                <w:sz w:val="20"/>
                <w:szCs w:val="20"/>
                <w:lang w:val="en-GB"/>
              </w:rPr>
            </w:pPr>
            <w:r w:rsidRPr="002D23F1">
              <w:rPr>
                <w:i/>
                <w:sz w:val="20"/>
                <w:szCs w:val="20"/>
                <w:lang w:val="en-GB"/>
              </w:rPr>
              <w:lastRenderedPageBreak/>
              <w:t>CP partners can support the delivery of PSS through 2 main channels</w:t>
            </w:r>
          </w:p>
          <w:p w14:paraId="48798233" w14:textId="77777777" w:rsidR="003814DE" w:rsidRPr="002D23F1" w:rsidRDefault="003814DE" w:rsidP="003814DE">
            <w:pPr>
              <w:spacing w:before="80" w:after="80"/>
              <w:rPr>
                <w:b/>
                <w:sz w:val="20"/>
                <w:szCs w:val="20"/>
                <w:lang w:val="en-GB"/>
              </w:rPr>
            </w:pPr>
            <w:r w:rsidRPr="002D23F1">
              <w:rPr>
                <w:b/>
                <w:i/>
                <w:sz w:val="20"/>
                <w:szCs w:val="20"/>
                <w:lang w:val="en-GB"/>
              </w:rPr>
              <w:t>1. School based social worker</w:t>
            </w:r>
            <w:r w:rsidRPr="002D23F1">
              <w:rPr>
                <w:i/>
                <w:sz w:val="20"/>
                <w:szCs w:val="20"/>
                <w:lang w:val="en-GB"/>
              </w:rPr>
              <w:t xml:space="preserve">- CP partners can help mentor and coach the school based social worker in the formal school set up who will in turn provide support to both teachers and learners. </w:t>
            </w:r>
          </w:p>
          <w:p w14:paraId="0CCD0B16" w14:textId="7884CA1F" w:rsidR="003814DE" w:rsidRPr="002D23F1" w:rsidRDefault="003814DE" w:rsidP="003814DE">
            <w:pPr>
              <w:spacing w:before="80" w:after="80"/>
              <w:rPr>
                <w:bCs/>
                <w:sz w:val="20"/>
                <w:szCs w:val="20"/>
                <w:u w:val="single"/>
                <w:lang w:val="en-GB"/>
              </w:rPr>
            </w:pPr>
            <w:r w:rsidRPr="002D23F1">
              <w:rPr>
                <w:b/>
                <w:i/>
                <w:sz w:val="20"/>
                <w:szCs w:val="20"/>
                <w:lang w:val="en-GB"/>
              </w:rPr>
              <w:t>2. CP actors lead in the delivery of a structured PSS curriculum to the children.</w:t>
            </w:r>
            <w:r w:rsidRPr="002D23F1">
              <w:rPr>
                <w:i/>
                <w:sz w:val="20"/>
                <w:szCs w:val="20"/>
                <w:lang w:val="en-GB"/>
              </w:rPr>
              <w:t xml:space="preserve"> Irrespective of the learning modality (ALP, catch- up and Basic Literacy and Numeracy), education partners should incorporate into the timetable one and a half hours per week of PSS where a CP partner can take learners through a structure PSS and resilience building curriculum, which are already tested and proven to have a positive impact on child well-being.  Content to be covered during these special sessions will be agreed on between the CP Sub-Cluster and Education Cluster as this is an area that requires standardization but ideally it should the sessions should adhere to the topics set out in the PSS manual.</w:t>
            </w:r>
          </w:p>
          <w:p w14:paraId="7596F439" w14:textId="77777777" w:rsidR="003814DE" w:rsidRPr="002D23F1" w:rsidRDefault="003814DE" w:rsidP="002D23F1">
            <w:pPr>
              <w:rPr>
                <w:bCs/>
                <w:sz w:val="20"/>
                <w:szCs w:val="20"/>
                <w:u w:val="single"/>
                <w:lang w:val="en-GB"/>
              </w:rPr>
            </w:pPr>
          </w:p>
          <w:p w14:paraId="22A686B6" w14:textId="77777777" w:rsidR="003814DE" w:rsidRPr="002D23F1" w:rsidRDefault="003814DE" w:rsidP="003814DE">
            <w:pPr>
              <w:spacing w:before="80" w:after="80"/>
              <w:rPr>
                <w:sz w:val="20"/>
                <w:szCs w:val="20"/>
                <w:u w:val="single"/>
                <w:lang w:val="en-GB"/>
              </w:rPr>
            </w:pPr>
            <w:r w:rsidRPr="002D23F1">
              <w:rPr>
                <w:sz w:val="20"/>
                <w:szCs w:val="20"/>
                <w:u w:val="single"/>
                <w:lang w:val="en-GB"/>
              </w:rPr>
              <w:t>Targeting</w:t>
            </w:r>
          </w:p>
          <w:p w14:paraId="5DE26E76" w14:textId="698AB946" w:rsidR="003814DE" w:rsidRPr="002D23F1" w:rsidRDefault="003814DE" w:rsidP="003814DE">
            <w:pPr>
              <w:pStyle w:val="ListParagraph"/>
              <w:numPr>
                <w:ilvl w:val="0"/>
                <w:numId w:val="11"/>
              </w:numPr>
              <w:spacing w:before="80" w:after="80"/>
              <w:ind w:left="284" w:hanging="284"/>
              <w:rPr>
                <w:sz w:val="20"/>
                <w:szCs w:val="20"/>
                <w:lang w:val="en-GB"/>
              </w:rPr>
            </w:pPr>
            <w:r w:rsidRPr="002D23F1">
              <w:rPr>
                <w:sz w:val="20"/>
                <w:szCs w:val="20"/>
                <w:lang w:val="en-GB"/>
              </w:rPr>
              <w:t>Potential overlaps in targeting or coverage discussed with CP, Education, and MA AORs – reliance on partner knowledge for their best implementing locations to avoid overlaps (</w:t>
            </w:r>
            <w:r w:rsidRPr="002D23F1">
              <w:rPr>
                <w:b/>
                <w:bCs/>
                <w:sz w:val="20"/>
                <w:szCs w:val="20"/>
                <w:lang w:val="en-GB"/>
              </w:rPr>
              <w:t>Ukraine</w:t>
            </w:r>
            <w:r w:rsidRPr="002D23F1">
              <w:rPr>
                <w:sz w:val="20"/>
                <w:szCs w:val="20"/>
                <w:lang w:val="en-GB"/>
              </w:rPr>
              <w:t>)</w:t>
            </w:r>
          </w:p>
        </w:tc>
        <w:tc>
          <w:tcPr>
            <w:tcW w:w="874" w:type="pct"/>
          </w:tcPr>
          <w:p w14:paraId="41DF8A0E" w14:textId="74249CD7" w:rsidR="00025716" w:rsidRPr="002D23F1" w:rsidRDefault="00025716" w:rsidP="00025716">
            <w:pPr>
              <w:spacing w:before="80" w:after="80"/>
              <w:rPr>
                <w:bCs/>
                <w:sz w:val="20"/>
                <w:szCs w:val="20"/>
                <w:u w:val="single"/>
                <w:lang w:val="en-GB"/>
              </w:rPr>
            </w:pPr>
            <w:r w:rsidRPr="002D23F1">
              <w:rPr>
                <w:bCs/>
                <w:sz w:val="20"/>
                <w:szCs w:val="20"/>
                <w:u w:val="single"/>
                <w:lang w:val="en-GB"/>
              </w:rPr>
              <w:lastRenderedPageBreak/>
              <w:t>Cross-referencing indicators</w:t>
            </w:r>
          </w:p>
          <w:p w14:paraId="37C00D5C" w14:textId="094D988F" w:rsidR="00025716" w:rsidRPr="002D23F1" w:rsidRDefault="00025716" w:rsidP="00025716">
            <w:pPr>
              <w:pStyle w:val="ListParagraph"/>
              <w:numPr>
                <w:ilvl w:val="0"/>
                <w:numId w:val="11"/>
              </w:numPr>
              <w:spacing w:before="80" w:after="80"/>
              <w:ind w:left="284" w:hanging="284"/>
              <w:rPr>
                <w:sz w:val="20"/>
                <w:szCs w:val="20"/>
                <w:lang w:val="en-GB"/>
              </w:rPr>
            </w:pPr>
            <w:r w:rsidRPr="002D23F1">
              <w:rPr>
                <w:rFonts w:ascii="Calibri" w:eastAsia="Times New Roman" w:hAnsi="Calibri" w:cs="Times New Roman"/>
                <w:color w:val="000000"/>
                <w:sz w:val="20"/>
                <w:szCs w:val="20"/>
                <w:lang w:val="en-GB"/>
              </w:rPr>
              <w:t xml:space="preserve">CP </w:t>
            </w:r>
            <w:r w:rsidRPr="002D23F1">
              <w:rPr>
                <w:sz w:val="20"/>
                <w:szCs w:val="20"/>
                <w:lang w:val="en-GB"/>
              </w:rPr>
              <w:t>indicator</w:t>
            </w:r>
            <w:r w:rsidRPr="002D23F1">
              <w:rPr>
                <w:rFonts w:ascii="Calibri" w:eastAsia="Times New Roman" w:hAnsi="Calibri" w:cs="Times New Roman"/>
                <w:color w:val="000000"/>
                <w:sz w:val="20"/>
                <w:szCs w:val="20"/>
                <w:lang w:val="en-GB"/>
              </w:rPr>
              <w:t xml:space="preserve"> in HRP indicates that it will be monitored by Education : # teachers, community members (SMC/PTA) and education authorities receiving and trained on PSS </w:t>
            </w:r>
            <w:r w:rsidRPr="002D23F1">
              <w:rPr>
                <w:rFonts w:ascii="Calibri" w:eastAsia="Times New Roman" w:hAnsi="Calibri" w:cs="Times New Roman"/>
                <w:b/>
                <w:color w:val="000000"/>
                <w:sz w:val="20"/>
                <w:szCs w:val="20"/>
                <w:lang w:val="en-GB"/>
              </w:rPr>
              <w:t xml:space="preserve">(South Sudan </w:t>
            </w:r>
            <w:r w:rsidRPr="002D23F1">
              <w:rPr>
                <w:rFonts w:ascii="Calibri" w:eastAsia="Times New Roman" w:hAnsi="Calibri" w:cs="Times New Roman"/>
                <w:color w:val="000000"/>
                <w:sz w:val="20"/>
                <w:szCs w:val="20"/>
                <w:lang w:val="en-GB"/>
              </w:rPr>
              <w:t>CP HRP</w:t>
            </w:r>
            <w:r w:rsidRPr="002D23F1">
              <w:rPr>
                <w:rFonts w:ascii="Calibri" w:eastAsia="Times New Roman" w:hAnsi="Calibri" w:cs="Times New Roman"/>
                <w:b/>
                <w:color w:val="000000"/>
                <w:sz w:val="20"/>
                <w:szCs w:val="20"/>
                <w:lang w:val="en-GB"/>
              </w:rPr>
              <w:t>)</w:t>
            </w:r>
          </w:p>
          <w:p w14:paraId="5DCD46D4" w14:textId="77777777" w:rsidR="00025716" w:rsidRPr="002D23F1" w:rsidRDefault="00025716" w:rsidP="002D23F1">
            <w:pPr>
              <w:rPr>
                <w:bCs/>
                <w:sz w:val="20"/>
                <w:szCs w:val="20"/>
                <w:u w:val="single"/>
                <w:lang w:val="en-GB"/>
              </w:rPr>
            </w:pPr>
          </w:p>
          <w:p w14:paraId="27232D00" w14:textId="1021AC2E" w:rsidR="00025716" w:rsidRPr="002D23F1" w:rsidRDefault="00025716" w:rsidP="00025716">
            <w:pPr>
              <w:spacing w:before="80" w:after="80"/>
              <w:rPr>
                <w:bCs/>
                <w:sz w:val="20"/>
                <w:szCs w:val="20"/>
                <w:u w:val="single"/>
                <w:lang w:val="en-GB"/>
              </w:rPr>
            </w:pPr>
            <w:r w:rsidRPr="002D23F1">
              <w:rPr>
                <w:bCs/>
                <w:sz w:val="20"/>
                <w:szCs w:val="20"/>
                <w:u w:val="single"/>
                <w:lang w:val="en-GB"/>
              </w:rPr>
              <w:t>Integration indicators</w:t>
            </w:r>
          </w:p>
          <w:p w14:paraId="1B3BC6EC" w14:textId="5E53632C" w:rsidR="00025716" w:rsidRPr="002D23F1" w:rsidRDefault="00025716" w:rsidP="00025716">
            <w:pPr>
              <w:pStyle w:val="ListParagraph"/>
              <w:numPr>
                <w:ilvl w:val="0"/>
                <w:numId w:val="11"/>
              </w:numPr>
              <w:spacing w:before="80" w:after="80"/>
              <w:ind w:left="284" w:hanging="284"/>
              <w:rPr>
                <w:sz w:val="20"/>
                <w:szCs w:val="20"/>
                <w:lang w:val="en-GB"/>
              </w:rPr>
            </w:pPr>
            <w:r w:rsidRPr="002D23F1">
              <w:rPr>
                <w:rFonts w:ascii="Calibri" w:eastAsia="Times New Roman" w:hAnsi="Calibri" w:cs="Times New Roman"/>
                <w:color w:val="000000"/>
                <w:sz w:val="20"/>
                <w:szCs w:val="20"/>
                <w:lang w:val="en-GB"/>
              </w:rPr>
              <w:t># school children and youth (M/F) reached with protection activities as per the Integrated Education-Child Protection Response Framework (</w:t>
            </w:r>
            <w:r w:rsidRPr="002D23F1">
              <w:rPr>
                <w:rFonts w:ascii="Calibri" w:eastAsia="Times New Roman" w:hAnsi="Calibri" w:cs="Times New Roman"/>
                <w:b/>
                <w:color w:val="000000"/>
                <w:sz w:val="20"/>
                <w:szCs w:val="20"/>
                <w:lang w:val="en-GB"/>
              </w:rPr>
              <w:t>Somalia</w:t>
            </w:r>
            <w:r w:rsidRPr="002D23F1">
              <w:rPr>
                <w:rFonts w:ascii="Calibri" w:eastAsia="Times New Roman" w:hAnsi="Calibri" w:cs="Times New Roman"/>
                <w:color w:val="000000"/>
                <w:sz w:val="20"/>
                <w:szCs w:val="20"/>
                <w:lang w:val="en-GB"/>
              </w:rPr>
              <w:t xml:space="preserve"> Education HRP)</w:t>
            </w:r>
          </w:p>
          <w:p w14:paraId="40107C9B" w14:textId="77777777" w:rsidR="002D23F1" w:rsidRPr="002D23F1" w:rsidRDefault="002D23F1" w:rsidP="002D23F1">
            <w:pPr>
              <w:rPr>
                <w:sz w:val="20"/>
                <w:szCs w:val="20"/>
                <w:lang w:val="en-GB"/>
              </w:rPr>
            </w:pPr>
          </w:p>
          <w:p w14:paraId="5F4AFADD" w14:textId="0DD88F91" w:rsidR="00025716" w:rsidRPr="002D23F1" w:rsidRDefault="00025716" w:rsidP="00025716">
            <w:pPr>
              <w:spacing w:before="80" w:after="80"/>
              <w:rPr>
                <w:bCs/>
                <w:sz w:val="20"/>
                <w:szCs w:val="20"/>
                <w:u w:val="single"/>
                <w:lang w:val="en-GB"/>
              </w:rPr>
            </w:pPr>
            <w:r w:rsidRPr="002D23F1">
              <w:rPr>
                <w:bCs/>
                <w:sz w:val="20"/>
                <w:szCs w:val="20"/>
                <w:u w:val="single"/>
                <w:lang w:val="en-GB"/>
              </w:rPr>
              <w:t>Indicator guidance</w:t>
            </w:r>
          </w:p>
          <w:p w14:paraId="3F843612" w14:textId="77777777" w:rsidR="00025716" w:rsidRPr="002D23F1" w:rsidRDefault="00025716" w:rsidP="00025716">
            <w:pPr>
              <w:pStyle w:val="ListParagraph"/>
              <w:numPr>
                <w:ilvl w:val="0"/>
                <w:numId w:val="11"/>
              </w:numPr>
              <w:spacing w:before="80" w:after="80"/>
              <w:ind w:left="284" w:hanging="284"/>
              <w:rPr>
                <w:sz w:val="20"/>
                <w:szCs w:val="20"/>
                <w:lang w:val="en-GB"/>
              </w:rPr>
            </w:pPr>
            <w:r w:rsidRPr="002D23F1">
              <w:rPr>
                <w:sz w:val="20"/>
                <w:szCs w:val="20"/>
                <w:lang w:val="en-GB"/>
              </w:rPr>
              <w:t xml:space="preserve">2019 HRP indicator inventory was </w:t>
            </w:r>
            <w:r w:rsidRPr="002D23F1">
              <w:rPr>
                <w:rFonts w:ascii="Calibri" w:eastAsia="Times New Roman" w:hAnsi="Calibri" w:cs="Times New Roman"/>
                <w:color w:val="000000"/>
                <w:sz w:val="20"/>
                <w:szCs w:val="20"/>
                <w:lang w:val="en-GB"/>
              </w:rPr>
              <w:t>developed</w:t>
            </w:r>
            <w:r w:rsidRPr="002D23F1">
              <w:rPr>
                <w:sz w:val="20"/>
                <w:szCs w:val="20"/>
                <w:lang w:val="en-GB"/>
              </w:rPr>
              <w:t xml:space="preserve"> in collaboration with CP &amp; GBV sub-clusters (</w:t>
            </w:r>
            <w:r w:rsidRPr="002D23F1">
              <w:rPr>
                <w:b/>
                <w:sz w:val="20"/>
                <w:szCs w:val="20"/>
                <w:lang w:val="en-GB"/>
              </w:rPr>
              <w:t>Nigeria</w:t>
            </w:r>
            <w:r w:rsidRPr="002D23F1">
              <w:rPr>
                <w:sz w:val="20"/>
                <w:szCs w:val="20"/>
                <w:lang w:val="en-GB"/>
              </w:rPr>
              <w:t>)</w:t>
            </w:r>
          </w:p>
          <w:p w14:paraId="2E16B8D9" w14:textId="77777777" w:rsidR="00551C0B" w:rsidRPr="002D23F1" w:rsidRDefault="00025716" w:rsidP="00551C0B">
            <w:pPr>
              <w:pStyle w:val="ListParagraph"/>
              <w:numPr>
                <w:ilvl w:val="0"/>
                <w:numId w:val="11"/>
              </w:numPr>
              <w:spacing w:before="80" w:after="80"/>
              <w:ind w:left="284" w:hanging="284"/>
              <w:rPr>
                <w:sz w:val="20"/>
                <w:szCs w:val="20"/>
                <w:lang w:val="en-GB"/>
              </w:rPr>
            </w:pPr>
            <w:r w:rsidRPr="002D23F1">
              <w:rPr>
                <w:sz w:val="20"/>
                <w:szCs w:val="20"/>
                <w:lang w:val="en-GB"/>
              </w:rPr>
              <w:lastRenderedPageBreak/>
              <w:t>Indicators explained in ECMT - school level reporting requirements/procedures (</w:t>
            </w:r>
            <w:r w:rsidRPr="002D23F1">
              <w:rPr>
                <w:b/>
                <w:sz w:val="20"/>
                <w:szCs w:val="20"/>
                <w:lang w:val="en-GB"/>
              </w:rPr>
              <w:t>Ukraine)</w:t>
            </w:r>
          </w:p>
          <w:p w14:paraId="7AB87A3F" w14:textId="2BD0544A" w:rsidR="00551C0B" w:rsidRPr="002D23F1" w:rsidRDefault="00551C0B" w:rsidP="00551C0B">
            <w:pPr>
              <w:pStyle w:val="ListParagraph"/>
              <w:numPr>
                <w:ilvl w:val="0"/>
                <w:numId w:val="11"/>
              </w:numPr>
              <w:spacing w:before="80" w:after="80"/>
              <w:ind w:left="284" w:hanging="284"/>
              <w:rPr>
                <w:sz w:val="20"/>
                <w:szCs w:val="20"/>
                <w:lang w:val="en-GB"/>
              </w:rPr>
            </w:pPr>
            <w:r w:rsidRPr="002D23F1">
              <w:rPr>
                <w:sz w:val="20"/>
                <w:szCs w:val="20"/>
                <w:lang w:val="en-GB"/>
              </w:rPr>
              <w:t>Indicator Guidelines (</w:t>
            </w:r>
            <w:r w:rsidRPr="002D23F1">
              <w:rPr>
                <w:b/>
                <w:sz w:val="20"/>
                <w:szCs w:val="20"/>
                <w:lang w:val="en-GB"/>
              </w:rPr>
              <w:t>Iraq</w:t>
            </w:r>
            <w:r w:rsidRPr="002D23F1">
              <w:rPr>
                <w:sz w:val="20"/>
                <w:szCs w:val="20"/>
                <w:lang w:val="en-GB"/>
              </w:rPr>
              <w:t xml:space="preserve">: </w:t>
            </w:r>
            <w:r w:rsidRPr="002D23F1">
              <w:rPr>
                <w:rFonts w:ascii="Calibri" w:eastAsia="Times New Roman" w:hAnsi="Calibri" w:cs="Times New Roman"/>
                <w:color w:val="000000"/>
                <w:sz w:val="20"/>
                <w:szCs w:val="20"/>
                <w:lang w:val="en-GB"/>
              </w:rPr>
              <w:t>CP Indicator guidelines for CP training in schools / to education personnel)</w:t>
            </w:r>
          </w:p>
        </w:tc>
      </w:tr>
      <w:tr w:rsidR="008B0087" w:rsidRPr="002D23F1" w14:paraId="033701C4" w14:textId="77777777" w:rsidTr="009477D0">
        <w:tc>
          <w:tcPr>
            <w:tcW w:w="5000" w:type="pct"/>
            <w:gridSpan w:val="4"/>
            <w:shd w:val="clear" w:color="auto" w:fill="00A0DC"/>
            <w:vAlign w:val="center"/>
          </w:tcPr>
          <w:p w14:paraId="1872B283" w14:textId="5A30CAAC" w:rsidR="008B0087" w:rsidRPr="002D23F1" w:rsidRDefault="008B0087" w:rsidP="008B0087">
            <w:pPr>
              <w:spacing w:before="80" w:after="80"/>
              <w:jc w:val="center"/>
              <w:rPr>
                <w:b/>
                <w:color w:val="FFFFFF" w:themeColor="background1"/>
                <w:sz w:val="20"/>
                <w:szCs w:val="20"/>
                <w:lang w:val="en-GB"/>
              </w:rPr>
            </w:pPr>
            <w:r w:rsidRPr="002D23F1">
              <w:rPr>
                <w:b/>
                <w:color w:val="FFFFFF" w:themeColor="background1"/>
                <w:sz w:val="20"/>
                <w:szCs w:val="20"/>
                <w:lang w:val="en-GB"/>
              </w:rPr>
              <w:lastRenderedPageBreak/>
              <w:t>GLOBAL LEVEL RESOURCES</w:t>
            </w:r>
          </w:p>
        </w:tc>
      </w:tr>
      <w:tr w:rsidR="00102D37" w:rsidRPr="002D23F1" w14:paraId="6FF34923" w14:textId="77777777" w:rsidTr="009477D0">
        <w:tc>
          <w:tcPr>
            <w:tcW w:w="728" w:type="pct"/>
          </w:tcPr>
          <w:p w14:paraId="0D81F144" w14:textId="220ECDE9" w:rsidR="00102D37" w:rsidRPr="002D23F1" w:rsidRDefault="0004789E" w:rsidP="00102D37">
            <w:pPr>
              <w:pStyle w:val="ListParagraph"/>
              <w:numPr>
                <w:ilvl w:val="0"/>
                <w:numId w:val="11"/>
              </w:numPr>
              <w:spacing w:before="80" w:after="80"/>
              <w:ind w:left="284" w:hanging="284"/>
              <w:rPr>
                <w:rFonts w:ascii="Calibri" w:eastAsia="Times New Roman" w:hAnsi="Calibri" w:cs="Times New Roman"/>
                <w:color w:val="000000"/>
                <w:sz w:val="20"/>
                <w:szCs w:val="20"/>
                <w:lang w:val="en-GB"/>
              </w:rPr>
            </w:pPr>
            <w:hyperlink r:id="rId20" w:history="1">
              <w:r w:rsidR="00102D37" w:rsidRPr="002D23F1">
                <w:rPr>
                  <w:rStyle w:val="Hyperlink"/>
                  <w:rFonts w:ascii="Calibri" w:eastAsia="Times New Roman" w:hAnsi="Calibri" w:cs="Times New Roman"/>
                  <w:sz w:val="20"/>
                  <w:szCs w:val="20"/>
                  <w:lang w:val="en-GB"/>
                </w:rPr>
                <w:t>Strategy Alignment Matrix</w:t>
              </w:r>
            </w:hyperlink>
            <w:r w:rsidR="00102D37" w:rsidRPr="002D23F1">
              <w:rPr>
                <w:rFonts w:ascii="Calibri" w:eastAsia="Times New Roman" w:hAnsi="Calibri" w:cs="Times New Roman"/>
                <w:color w:val="000000"/>
                <w:sz w:val="20"/>
                <w:szCs w:val="20"/>
                <w:lang w:val="en-GB"/>
              </w:rPr>
              <w:t xml:space="preserve"> </w:t>
            </w:r>
            <w:r w:rsidR="00102D37" w:rsidRPr="002D23F1">
              <w:rPr>
                <w:rFonts w:ascii="Calibri" w:eastAsia="Times New Roman" w:hAnsi="Calibri" w:cs="Times New Roman"/>
                <w:b/>
                <w:color w:val="000000"/>
                <w:sz w:val="20"/>
                <w:szCs w:val="20"/>
                <w:lang w:val="en-GB"/>
              </w:rPr>
              <w:t>(GEC Strategy Package)</w:t>
            </w:r>
            <w:r w:rsidR="00102D37" w:rsidRPr="002D23F1">
              <w:rPr>
                <w:rFonts w:ascii="Calibri" w:eastAsia="Times New Roman" w:hAnsi="Calibri" w:cs="Times New Roman"/>
                <w:color w:val="000000"/>
                <w:sz w:val="20"/>
                <w:szCs w:val="20"/>
                <w:lang w:val="en-GB"/>
              </w:rPr>
              <w:t xml:space="preserve"> </w:t>
            </w:r>
          </w:p>
          <w:p w14:paraId="4D11699C" w14:textId="77777777" w:rsidR="003509ED" w:rsidRPr="002D23F1" w:rsidRDefault="003509ED" w:rsidP="003509ED">
            <w:pPr>
              <w:pStyle w:val="ListParagraph"/>
              <w:numPr>
                <w:ilvl w:val="0"/>
                <w:numId w:val="11"/>
              </w:numPr>
              <w:spacing w:before="80" w:after="80"/>
              <w:ind w:left="284" w:hanging="284"/>
              <w:rPr>
                <w:rFonts w:ascii="Calibri" w:eastAsia="Times New Roman" w:hAnsi="Calibri" w:cs="Times New Roman"/>
                <w:color w:val="000000"/>
                <w:sz w:val="20"/>
                <w:szCs w:val="20"/>
                <w:lang w:val="en-GB"/>
              </w:rPr>
            </w:pPr>
            <w:r w:rsidRPr="002D23F1">
              <w:rPr>
                <w:rFonts w:ascii="Calibri" w:eastAsia="Times New Roman" w:hAnsi="Calibri" w:cs="Times New Roman"/>
                <w:color w:val="000000"/>
                <w:sz w:val="20"/>
                <w:szCs w:val="20"/>
                <w:lang w:val="en-GB"/>
              </w:rPr>
              <w:t xml:space="preserve">Example </w:t>
            </w:r>
            <w:hyperlink r:id="rId21" w:history="1">
              <w:r w:rsidRPr="002D23F1">
                <w:rPr>
                  <w:rStyle w:val="Hyperlink"/>
                  <w:rFonts w:ascii="Calibri" w:eastAsia="Times New Roman" w:hAnsi="Calibri" w:cs="Times New Roman"/>
                  <w:sz w:val="20"/>
                  <w:szCs w:val="20"/>
                  <w:lang w:val="en-GB"/>
                </w:rPr>
                <w:t>multi-sector accountabilities matrix</w:t>
              </w:r>
            </w:hyperlink>
          </w:p>
          <w:p w14:paraId="36428EE1" w14:textId="7FFE6460" w:rsidR="003509ED" w:rsidRPr="002D23F1" w:rsidRDefault="003509ED" w:rsidP="00102D37">
            <w:pPr>
              <w:pStyle w:val="ListParagraph"/>
              <w:numPr>
                <w:ilvl w:val="0"/>
                <w:numId w:val="11"/>
              </w:numPr>
              <w:spacing w:before="80" w:after="80"/>
              <w:ind w:left="284" w:hanging="284"/>
              <w:rPr>
                <w:rFonts w:ascii="Calibri" w:eastAsia="Times New Roman" w:hAnsi="Calibri" w:cs="Times New Roman"/>
                <w:color w:val="000000"/>
                <w:sz w:val="20"/>
                <w:szCs w:val="20"/>
                <w:lang w:val="en-GB"/>
              </w:rPr>
            </w:pPr>
            <w:r w:rsidRPr="002D23F1">
              <w:rPr>
                <w:sz w:val="20"/>
                <w:szCs w:val="20"/>
                <w:lang w:val="en-GB"/>
              </w:rPr>
              <w:t>Example cross-sector matrices (</w:t>
            </w:r>
            <w:hyperlink r:id="rId22" w:history="1">
              <w:r w:rsidRPr="002D23F1">
                <w:rPr>
                  <w:rStyle w:val="Hyperlink"/>
                  <w:sz w:val="20"/>
                  <w:szCs w:val="20"/>
                  <w:lang w:val="en-GB"/>
                </w:rPr>
                <w:t>Annex 6</w:t>
              </w:r>
            </w:hyperlink>
            <w:r w:rsidRPr="002D23F1">
              <w:rPr>
                <w:sz w:val="20"/>
                <w:szCs w:val="20"/>
                <w:lang w:val="en-GB"/>
              </w:rPr>
              <w:t>)</w:t>
            </w:r>
          </w:p>
        </w:tc>
        <w:tc>
          <w:tcPr>
            <w:tcW w:w="680" w:type="pct"/>
          </w:tcPr>
          <w:p w14:paraId="2D8983B4" w14:textId="77777777" w:rsidR="00A25D2F" w:rsidRPr="002D23F1" w:rsidRDefault="00A25D2F" w:rsidP="00A25D2F">
            <w:pPr>
              <w:pStyle w:val="ListParagraph"/>
              <w:numPr>
                <w:ilvl w:val="0"/>
                <w:numId w:val="11"/>
              </w:numPr>
              <w:spacing w:before="80" w:after="80"/>
              <w:ind w:left="284" w:hanging="284"/>
              <w:rPr>
                <w:sz w:val="20"/>
                <w:szCs w:val="20"/>
                <w:lang w:val="en-GB"/>
              </w:rPr>
            </w:pPr>
            <w:r w:rsidRPr="002D23F1">
              <w:rPr>
                <w:sz w:val="20"/>
                <w:szCs w:val="20"/>
                <w:lang w:val="en-GB"/>
              </w:rPr>
              <w:t xml:space="preserve">Protection Mainstreaming Tip sheet </w:t>
            </w:r>
            <w:r w:rsidRPr="002D23F1">
              <w:rPr>
                <w:b/>
                <w:bCs/>
                <w:sz w:val="20"/>
                <w:szCs w:val="20"/>
                <w:lang w:val="en-GB"/>
              </w:rPr>
              <w:t>(</w:t>
            </w:r>
            <w:hyperlink r:id="rId23" w:history="1">
              <w:r w:rsidRPr="002D23F1">
                <w:rPr>
                  <w:b/>
                  <w:bCs/>
                  <w:sz w:val="20"/>
                  <w:szCs w:val="20"/>
                  <w:lang w:val="en-GB"/>
                </w:rPr>
                <w:t>CP AoR</w:t>
              </w:r>
            </w:hyperlink>
            <w:r w:rsidRPr="002D23F1">
              <w:rPr>
                <w:b/>
                <w:bCs/>
                <w:sz w:val="20"/>
                <w:szCs w:val="20"/>
                <w:lang w:val="en-GB"/>
              </w:rPr>
              <w:t>)</w:t>
            </w:r>
            <w:r w:rsidRPr="002D23F1">
              <w:rPr>
                <w:sz w:val="20"/>
                <w:szCs w:val="20"/>
                <w:lang w:val="en-GB"/>
              </w:rPr>
              <w:t xml:space="preserve"> </w:t>
            </w:r>
          </w:p>
          <w:p w14:paraId="327018AB" w14:textId="63E1DE60" w:rsidR="00102D37" w:rsidRPr="002D23F1" w:rsidRDefault="00A25D2F" w:rsidP="00A25D2F">
            <w:pPr>
              <w:pStyle w:val="ListParagraph"/>
              <w:numPr>
                <w:ilvl w:val="0"/>
                <w:numId w:val="11"/>
              </w:numPr>
              <w:spacing w:before="80" w:after="80"/>
              <w:ind w:left="284" w:hanging="284"/>
              <w:rPr>
                <w:sz w:val="20"/>
                <w:szCs w:val="20"/>
                <w:lang w:val="en-GB"/>
              </w:rPr>
            </w:pPr>
            <w:r w:rsidRPr="002D23F1">
              <w:rPr>
                <w:sz w:val="20"/>
                <w:szCs w:val="20"/>
                <w:lang w:val="en-GB"/>
              </w:rPr>
              <w:t xml:space="preserve">Education and Child Protection Integration Checklist </w:t>
            </w:r>
            <w:r w:rsidRPr="002D23F1">
              <w:rPr>
                <w:b/>
                <w:bCs/>
                <w:sz w:val="20"/>
                <w:szCs w:val="20"/>
                <w:lang w:val="en-GB"/>
              </w:rPr>
              <w:t>(</w:t>
            </w:r>
            <w:hyperlink r:id="rId24" w:history="1">
              <w:r w:rsidRPr="002D23F1">
                <w:rPr>
                  <w:b/>
                  <w:bCs/>
                  <w:sz w:val="20"/>
                  <w:szCs w:val="20"/>
                  <w:lang w:val="en-GB"/>
                </w:rPr>
                <w:t>CP AoR</w:t>
              </w:r>
            </w:hyperlink>
            <w:r w:rsidRPr="002D23F1">
              <w:rPr>
                <w:b/>
                <w:bCs/>
                <w:sz w:val="20"/>
                <w:szCs w:val="20"/>
                <w:lang w:val="en-GB"/>
              </w:rPr>
              <w:t>)</w:t>
            </w:r>
          </w:p>
        </w:tc>
        <w:tc>
          <w:tcPr>
            <w:tcW w:w="2718" w:type="pct"/>
          </w:tcPr>
          <w:p w14:paraId="5FF43C8E" w14:textId="40970723" w:rsidR="002D23F1" w:rsidRPr="002D23F1" w:rsidRDefault="002D23F1" w:rsidP="00551C0B">
            <w:pPr>
              <w:pStyle w:val="ListParagraph"/>
              <w:numPr>
                <w:ilvl w:val="0"/>
                <w:numId w:val="11"/>
              </w:numPr>
              <w:spacing w:before="80" w:after="80"/>
              <w:ind w:left="284" w:hanging="284"/>
              <w:rPr>
                <w:sz w:val="20"/>
                <w:szCs w:val="20"/>
                <w:lang w:val="en-GB"/>
              </w:rPr>
            </w:pPr>
            <w:r w:rsidRPr="002D23F1">
              <w:rPr>
                <w:sz w:val="20"/>
                <w:szCs w:val="20"/>
                <w:lang w:val="en-GB"/>
              </w:rPr>
              <w:t>CP-EiE Considerations during targeting (</w:t>
            </w:r>
            <w:hyperlink r:id="rId25" w:history="1">
              <w:r w:rsidRPr="002D23F1">
                <w:rPr>
                  <w:rStyle w:val="Hyperlink"/>
                  <w:sz w:val="20"/>
                  <w:szCs w:val="20"/>
                  <w:lang w:val="en-GB"/>
                </w:rPr>
                <w:t>Annex 7</w:t>
              </w:r>
            </w:hyperlink>
            <w:r w:rsidRPr="002D23F1">
              <w:rPr>
                <w:sz w:val="20"/>
                <w:szCs w:val="20"/>
                <w:lang w:val="en-GB"/>
              </w:rPr>
              <w:t>)</w:t>
            </w:r>
          </w:p>
          <w:p w14:paraId="2305192D" w14:textId="5B94364E" w:rsidR="00551C0B" w:rsidRPr="002D23F1" w:rsidRDefault="0004789E" w:rsidP="00551C0B">
            <w:pPr>
              <w:pStyle w:val="ListParagraph"/>
              <w:numPr>
                <w:ilvl w:val="0"/>
                <w:numId w:val="11"/>
              </w:numPr>
              <w:spacing w:before="80" w:after="80"/>
              <w:ind w:left="284" w:hanging="284"/>
              <w:rPr>
                <w:rStyle w:val="Hyperlink"/>
                <w:color w:val="auto"/>
                <w:sz w:val="20"/>
                <w:szCs w:val="20"/>
                <w:u w:val="none"/>
                <w:lang w:val="en-GB"/>
              </w:rPr>
            </w:pPr>
            <w:hyperlink r:id="rId26" w:history="1">
              <w:r w:rsidR="00551C0B" w:rsidRPr="002D23F1">
                <w:rPr>
                  <w:rStyle w:val="Hyperlink"/>
                  <w:sz w:val="20"/>
                  <w:szCs w:val="20"/>
                  <w:lang w:val="en-GB"/>
                </w:rPr>
                <w:t>Humanitarian Response Plan Template Guidance, 2019</w:t>
              </w:r>
            </w:hyperlink>
          </w:p>
          <w:p w14:paraId="2CE05852" w14:textId="29152D2F" w:rsidR="00551C0B" w:rsidRPr="002D23F1" w:rsidRDefault="0004789E" w:rsidP="00551C0B">
            <w:pPr>
              <w:pStyle w:val="ListParagraph"/>
              <w:numPr>
                <w:ilvl w:val="0"/>
                <w:numId w:val="11"/>
              </w:numPr>
              <w:spacing w:before="80" w:after="80"/>
              <w:ind w:left="284" w:hanging="284"/>
              <w:rPr>
                <w:rStyle w:val="Hyperlink"/>
                <w:color w:val="auto"/>
                <w:sz w:val="20"/>
                <w:szCs w:val="20"/>
                <w:u w:val="none"/>
                <w:lang w:val="en-GB"/>
              </w:rPr>
            </w:pPr>
            <w:hyperlink r:id="rId27" w:history="1">
              <w:r w:rsidR="00551C0B" w:rsidRPr="002D23F1">
                <w:rPr>
                  <w:rStyle w:val="Hyperlink"/>
                  <w:rFonts w:eastAsia="Times New Roman" w:cs="Times New Roman"/>
                  <w:sz w:val="20"/>
                  <w:szCs w:val="20"/>
                  <w:lang w:val="en-GB"/>
                </w:rPr>
                <w:t xml:space="preserve">Global Education Cluster Summary Guide to Developing Education Cluster </w:t>
              </w:r>
              <w:r w:rsidR="00551C0B" w:rsidRPr="002D23F1">
                <w:rPr>
                  <w:rStyle w:val="Hyperlink"/>
                  <w:rFonts w:ascii="Calibri" w:eastAsia="Times New Roman" w:hAnsi="Calibri" w:cs="Times New Roman"/>
                  <w:sz w:val="20"/>
                  <w:szCs w:val="20"/>
                  <w:lang w:val="en-GB"/>
                </w:rPr>
                <w:t>Strategies</w:t>
              </w:r>
              <w:r w:rsidR="00551C0B" w:rsidRPr="002D23F1">
                <w:rPr>
                  <w:rStyle w:val="Hyperlink"/>
                  <w:rFonts w:eastAsia="Times New Roman" w:cs="Times New Roman"/>
                  <w:sz w:val="20"/>
                  <w:szCs w:val="20"/>
                  <w:lang w:val="en-GB"/>
                </w:rPr>
                <w:t>, 2018</w:t>
              </w:r>
            </w:hyperlink>
          </w:p>
          <w:p w14:paraId="2C733346" w14:textId="77777777" w:rsidR="00551C0B" w:rsidRPr="002D23F1" w:rsidRDefault="00551C0B" w:rsidP="00551C0B">
            <w:pPr>
              <w:pStyle w:val="ListParagraph"/>
              <w:spacing w:before="80" w:after="80"/>
              <w:ind w:left="284"/>
              <w:rPr>
                <w:sz w:val="20"/>
                <w:szCs w:val="20"/>
                <w:lang w:val="en-GB"/>
              </w:rPr>
            </w:pPr>
          </w:p>
          <w:p w14:paraId="35A90214" w14:textId="37314642" w:rsidR="00551C0B" w:rsidRPr="002D23F1" w:rsidRDefault="0004789E" w:rsidP="00551C0B">
            <w:pPr>
              <w:pStyle w:val="ListParagraph"/>
              <w:numPr>
                <w:ilvl w:val="0"/>
                <w:numId w:val="11"/>
              </w:numPr>
              <w:spacing w:before="80" w:after="80"/>
              <w:ind w:left="284" w:hanging="284"/>
              <w:rPr>
                <w:rStyle w:val="Hyperlink"/>
                <w:b/>
                <w:color w:val="auto"/>
                <w:sz w:val="20"/>
                <w:szCs w:val="20"/>
                <w:u w:val="none"/>
                <w:lang w:val="en-GB"/>
              </w:rPr>
            </w:pPr>
            <w:hyperlink r:id="rId28" w:history="1">
              <w:r w:rsidR="00551C0B" w:rsidRPr="002D23F1">
                <w:rPr>
                  <w:rStyle w:val="Hyperlink"/>
                  <w:rFonts w:ascii="Calibri" w:eastAsia="Times New Roman" w:hAnsi="Calibri" w:cs="Times New Roman"/>
                  <w:sz w:val="20"/>
                  <w:szCs w:val="20"/>
                  <w:lang w:val="en-GB"/>
                </w:rPr>
                <w:t>Integrating</w:t>
              </w:r>
              <w:r w:rsidR="00551C0B" w:rsidRPr="002D23F1">
                <w:rPr>
                  <w:rStyle w:val="Hyperlink"/>
                  <w:sz w:val="20"/>
                  <w:szCs w:val="20"/>
                  <w:lang w:val="en-GB"/>
                </w:rPr>
                <w:t xml:space="preserve"> Accountability to Affected Populations into the Humanitarian Programme Cycle,  2018</w:t>
              </w:r>
            </w:hyperlink>
          </w:p>
          <w:p w14:paraId="116F242D" w14:textId="4E35C608" w:rsidR="00551C0B" w:rsidRPr="002D23F1" w:rsidRDefault="00907A37" w:rsidP="002D23F1">
            <w:pPr>
              <w:pStyle w:val="ListParagraph"/>
              <w:numPr>
                <w:ilvl w:val="0"/>
                <w:numId w:val="11"/>
              </w:numPr>
              <w:spacing w:before="80" w:after="80"/>
              <w:ind w:left="284" w:hanging="284"/>
              <w:rPr>
                <w:sz w:val="20"/>
                <w:szCs w:val="20"/>
                <w:lang w:val="en-GB"/>
              </w:rPr>
            </w:pPr>
            <w:r w:rsidRPr="002D23F1">
              <w:rPr>
                <w:rFonts w:eastAsia="Times New Roman"/>
                <w:sz w:val="20"/>
                <w:szCs w:val="20"/>
                <w:lang w:val="en-GB"/>
              </w:rPr>
              <w:t>For gender considerations in strategic planning, see </w:t>
            </w:r>
            <w:hyperlink r:id="rId29" w:history="1">
              <w:r w:rsidRPr="002D23F1">
                <w:rPr>
                  <w:rStyle w:val="Hyperlink"/>
                  <w:rFonts w:eastAsia="Times New Roman"/>
                  <w:sz w:val="20"/>
                  <w:szCs w:val="20"/>
                  <w:lang w:val="en-GB"/>
                </w:rPr>
                <w:t>INEE Guidance Note on Gender</w:t>
              </w:r>
            </w:hyperlink>
            <w:r w:rsidRPr="002D23F1">
              <w:rPr>
                <w:rFonts w:eastAsia="Times New Roman"/>
                <w:sz w:val="20"/>
                <w:szCs w:val="20"/>
                <w:lang w:val="en-GB"/>
              </w:rPr>
              <w:t xml:space="preserve"> (2019) Strategies for </w:t>
            </w:r>
            <w:r w:rsidRPr="002D23F1">
              <w:rPr>
                <w:sz w:val="20"/>
                <w:szCs w:val="20"/>
                <w:lang w:val="en-GB"/>
              </w:rPr>
              <w:t>gender</w:t>
            </w:r>
            <w:r w:rsidRPr="002D23F1">
              <w:rPr>
                <w:rFonts w:eastAsia="Times New Roman"/>
                <w:sz w:val="20"/>
                <w:szCs w:val="20"/>
                <w:lang w:val="en-GB"/>
              </w:rPr>
              <w:t xml:space="preserve">-responsive </w:t>
            </w:r>
            <w:r w:rsidR="00140443" w:rsidRPr="002D23F1">
              <w:rPr>
                <w:rFonts w:eastAsia="Times New Roman"/>
                <w:sz w:val="20"/>
                <w:szCs w:val="20"/>
                <w:lang w:val="en-GB"/>
              </w:rPr>
              <w:t>p</w:t>
            </w:r>
            <w:r w:rsidRPr="002D23F1">
              <w:rPr>
                <w:rFonts w:eastAsia="Times New Roman"/>
                <w:sz w:val="20"/>
                <w:szCs w:val="20"/>
                <w:lang w:val="en-GB"/>
              </w:rPr>
              <w:t>lanning and implementation p. 94-97</w:t>
            </w:r>
          </w:p>
        </w:tc>
        <w:tc>
          <w:tcPr>
            <w:tcW w:w="874" w:type="pct"/>
          </w:tcPr>
          <w:p w14:paraId="6FCB93D5" w14:textId="3C8D3B16" w:rsidR="00551C0B" w:rsidRPr="002D23F1" w:rsidRDefault="002D23F1" w:rsidP="002D23F1">
            <w:pPr>
              <w:pStyle w:val="ListParagraph"/>
              <w:numPr>
                <w:ilvl w:val="0"/>
                <w:numId w:val="8"/>
              </w:numPr>
              <w:spacing w:before="40"/>
              <w:ind w:left="312" w:hanging="284"/>
              <w:rPr>
                <w:sz w:val="20"/>
                <w:szCs w:val="20"/>
                <w:lang w:val="en-GB"/>
              </w:rPr>
            </w:pPr>
            <w:r w:rsidRPr="002D23F1">
              <w:rPr>
                <w:rFonts w:eastAsia="Times New Roman"/>
                <w:sz w:val="20"/>
                <w:szCs w:val="20"/>
                <w:lang w:val="en-GB"/>
              </w:rPr>
              <w:t>CP-EiE Considerations</w:t>
            </w:r>
            <w:r w:rsidRPr="002D23F1">
              <w:rPr>
                <w:sz w:val="20"/>
                <w:szCs w:val="20"/>
                <w:lang w:val="en-GB"/>
              </w:rPr>
              <w:t xml:space="preserve"> for collective objectives and indicator arrangements (</w:t>
            </w:r>
            <w:hyperlink r:id="rId30" w:history="1">
              <w:r w:rsidRPr="002D23F1">
                <w:rPr>
                  <w:rStyle w:val="Hyperlink"/>
                  <w:sz w:val="20"/>
                  <w:szCs w:val="20"/>
                  <w:lang w:val="en-GB"/>
                </w:rPr>
                <w:t>Annex 8</w:t>
              </w:r>
            </w:hyperlink>
            <w:r w:rsidRPr="002D23F1">
              <w:rPr>
                <w:sz w:val="20"/>
                <w:szCs w:val="20"/>
                <w:lang w:val="en-GB"/>
              </w:rPr>
              <w:t>)</w:t>
            </w:r>
          </w:p>
        </w:tc>
      </w:tr>
    </w:tbl>
    <w:p w14:paraId="688838C5" w14:textId="1F0FF6A8" w:rsidR="00856C15" w:rsidRPr="002D23F1" w:rsidRDefault="00856C15" w:rsidP="0037509F">
      <w:pPr>
        <w:jc w:val="both"/>
        <w:rPr>
          <w:sz w:val="24"/>
          <w:szCs w:val="24"/>
          <w:lang w:val="en-GB"/>
        </w:rPr>
      </w:pPr>
    </w:p>
    <w:p w14:paraId="6D1EC263" w14:textId="51894226" w:rsidR="003814DE" w:rsidRPr="002D23F1" w:rsidRDefault="003814DE" w:rsidP="00CD5E03">
      <w:pPr>
        <w:rPr>
          <w:b/>
          <w:lang w:val="en-GB"/>
        </w:rPr>
      </w:pPr>
    </w:p>
    <w:sectPr w:rsidR="003814DE" w:rsidRPr="002D23F1" w:rsidSect="00512BF8">
      <w:headerReference w:type="default" r:id="rId31"/>
      <w:pgSz w:w="15840" w:h="12240" w:orient="landscape"/>
      <w:pgMar w:top="567" w:right="1440" w:bottom="567" w:left="1440" w:header="391"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CD4B16" w14:textId="77777777" w:rsidR="0004789E" w:rsidRDefault="0004789E" w:rsidP="004D291C">
      <w:pPr>
        <w:spacing w:after="0" w:line="240" w:lineRule="auto"/>
      </w:pPr>
      <w:r>
        <w:separator/>
      </w:r>
    </w:p>
  </w:endnote>
  <w:endnote w:type="continuationSeparator" w:id="0">
    <w:p w14:paraId="153426C8" w14:textId="77777777" w:rsidR="0004789E" w:rsidRDefault="0004789E" w:rsidP="004D2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Lucida Grande">
    <w:altName w:val="Segoe UI"/>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B53E26" w14:textId="77777777" w:rsidR="0004789E" w:rsidRDefault="0004789E" w:rsidP="004D291C">
      <w:pPr>
        <w:spacing w:after="0" w:line="240" w:lineRule="auto"/>
      </w:pPr>
      <w:r>
        <w:separator/>
      </w:r>
    </w:p>
  </w:footnote>
  <w:footnote w:type="continuationSeparator" w:id="0">
    <w:p w14:paraId="58598084" w14:textId="77777777" w:rsidR="0004789E" w:rsidRDefault="0004789E" w:rsidP="004D29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B9F8BA" w14:textId="77777777" w:rsidR="009477D0" w:rsidRPr="00027A53" w:rsidRDefault="009477D0" w:rsidP="009477D0">
    <w:pPr>
      <w:jc w:val="center"/>
      <w:rPr>
        <w:color w:val="0563C1" w:themeColor="hyperlink"/>
        <w:sz w:val="28"/>
        <w:szCs w:val="28"/>
        <w:u w:val="single"/>
      </w:rPr>
    </w:pPr>
    <w:r w:rsidRPr="00BB34F7">
      <w:rPr>
        <w:noProof/>
        <w:sz w:val="28"/>
        <w:szCs w:val="28"/>
        <w:u w:val="single"/>
      </w:rPr>
      <w:drawing>
        <wp:anchor distT="0" distB="0" distL="114300" distR="114300" simplePos="0" relativeHeight="251659264" behindDoc="0" locked="0" layoutInCell="1" allowOverlap="1" wp14:anchorId="7B87E749" wp14:editId="27C0D50E">
          <wp:simplePos x="0" y="0"/>
          <wp:positionH relativeFrom="column">
            <wp:posOffset>8126095</wp:posOffset>
          </wp:positionH>
          <wp:positionV relativeFrom="paragraph">
            <wp:posOffset>11430</wp:posOffset>
          </wp:positionV>
          <wp:extent cx="735330" cy="266065"/>
          <wp:effectExtent l="0" t="0" r="7620" b="635"/>
          <wp:wrapNone/>
          <wp:docPr id="8" name="Picture 8"/>
          <wp:cNvGraphicFramePr/>
          <a:graphic xmlns:a="http://schemas.openxmlformats.org/drawingml/2006/main">
            <a:graphicData uri="http://schemas.openxmlformats.org/drawingml/2006/picture">
              <pic:pic xmlns:pic="http://schemas.openxmlformats.org/drawingml/2006/picture">
                <pic:nvPicPr>
                  <pic:cNvPr id="5" name="Pictur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5330" cy="266065"/>
                  </a:xfrm>
                  <a:prstGeom prst="rect">
                    <a:avLst/>
                  </a:prstGeom>
                  <a:noFill/>
                </pic:spPr>
              </pic:pic>
            </a:graphicData>
          </a:graphic>
          <wp14:sizeRelH relativeFrom="page">
            <wp14:pctWidth>0</wp14:pctWidth>
          </wp14:sizeRelH>
          <wp14:sizeRelV relativeFrom="page">
            <wp14:pctHeight>0</wp14:pctHeight>
          </wp14:sizeRelV>
        </wp:anchor>
      </w:drawing>
    </w:r>
    <w:r w:rsidRPr="00BB34F7">
      <w:rPr>
        <w:noProof/>
        <w:sz w:val="28"/>
        <w:szCs w:val="28"/>
        <w:u w:val="single"/>
      </w:rPr>
      <w:drawing>
        <wp:anchor distT="0" distB="0" distL="114300" distR="114300" simplePos="0" relativeHeight="251660288" behindDoc="0" locked="0" layoutInCell="1" allowOverlap="1" wp14:anchorId="2BBA458A" wp14:editId="240A959A">
          <wp:simplePos x="0" y="0"/>
          <wp:positionH relativeFrom="column">
            <wp:posOffset>7346315</wp:posOffset>
          </wp:positionH>
          <wp:positionV relativeFrom="paragraph">
            <wp:posOffset>-132715</wp:posOffset>
          </wp:positionV>
          <wp:extent cx="707390" cy="472440"/>
          <wp:effectExtent l="0" t="0" r="0" b="3810"/>
          <wp:wrapNone/>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07390" cy="472440"/>
                  </a:xfrm>
                  <a:prstGeom prst="rect">
                    <a:avLst/>
                  </a:prstGeom>
                </pic:spPr>
              </pic:pic>
            </a:graphicData>
          </a:graphic>
          <wp14:sizeRelH relativeFrom="page">
            <wp14:pctWidth>0</wp14:pctWidth>
          </wp14:sizeRelH>
          <wp14:sizeRelV relativeFrom="page">
            <wp14:pctHeight>0</wp14:pctHeight>
          </wp14:sizeRelV>
        </wp:anchor>
      </w:drawing>
    </w:r>
    <w:r w:rsidRPr="006B74FC">
      <w:rPr>
        <w:sz w:val="28"/>
        <w:szCs w:val="28"/>
        <w:u w:val="single"/>
      </w:rPr>
      <w:t>CP</w:t>
    </w:r>
    <w:r>
      <w:rPr>
        <w:sz w:val="28"/>
        <w:szCs w:val="28"/>
        <w:u w:val="single"/>
      </w:rPr>
      <w:t>-</w:t>
    </w:r>
    <w:r w:rsidRPr="006B74FC">
      <w:rPr>
        <w:sz w:val="28"/>
        <w:szCs w:val="28"/>
        <w:u w:val="single"/>
      </w:rPr>
      <w:t xml:space="preserve">EiE </w:t>
    </w:r>
    <w:r>
      <w:rPr>
        <w:sz w:val="28"/>
        <w:szCs w:val="28"/>
        <w:u w:val="single"/>
      </w:rPr>
      <w:t xml:space="preserve">Collaboration Framework </w:t>
    </w:r>
    <w:hyperlink r:id="rId3" w:history="1">
      <w:r w:rsidRPr="000A13FB">
        <w:rPr>
          <w:rStyle w:val="Hyperlink"/>
          <w:sz w:val="28"/>
          <w:szCs w:val="28"/>
        </w:rPr>
        <w:t>package</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207B6"/>
    <w:multiLevelType w:val="hybridMultilevel"/>
    <w:tmpl w:val="E9B0BA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B86CA9"/>
    <w:multiLevelType w:val="hybridMultilevel"/>
    <w:tmpl w:val="8B4C65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644C4B"/>
    <w:multiLevelType w:val="hybridMultilevel"/>
    <w:tmpl w:val="1F08D0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03010C"/>
    <w:multiLevelType w:val="hybridMultilevel"/>
    <w:tmpl w:val="B95A4BE4"/>
    <w:lvl w:ilvl="0" w:tplc="F8A0D274">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F3065F"/>
    <w:multiLevelType w:val="hybridMultilevel"/>
    <w:tmpl w:val="4E8E0D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236E5E"/>
    <w:multiLevelType w:val="hybridMultilevel"/>
    <w:tmpl w:val="CD7001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980FEF"/>
    <w:multiLevelType w:val="multilevel"/>
    <w:tmpl w:val="C42C7026"/>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AF16628"/>
    <w:multiLevelType w:val="hybridMultilevel"/>
    <w:tmpl w:val="CD8637B2"/>
    <w:lvl w:ilvl="0" w:tplc="E87A4FB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4F183B"/>
    <w:multiLevelType w:val="hybridMultilevel"/>
    <w:tmpl w:val="82FC5CCC"/>
    <w:lvl w:ilvl="0" w:tplc="613CD93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043309"/>
    <w:multiLevelType w:val="hybridMultilevel"/>
    <w:tmpl w:val="AF7A7A98"/>
    <w:lvl w:ilvl="0" w:tplc="613CD93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521225F"/>
    <w:multiLevelType w:val="hybridMultilevel"/>
    <w:tmpl w:val="A4C00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5600E7A"/>
    <w:multiLevelType w:val="hybridMultilevel"/>
    <w:tmpl w:val="1E585CA4"/>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03">
      <w:start w:val="1"/>
      <w:numFmt w:val="bullet"/>
      <w:lvlText w:val="o"/>
      <w:lvlJc w:val="left"/>
      <w:pPr>
        <w:ind w:left="1777" w:hanging="360"/>
      </w:pPr>
      <w:rPr>
        <w:rFonts w:ascii="Courier New" w:hAnsi="Courier New"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6353A4"/>
    <w:multiLevelType w:val="hybridMultilevel"/>
    <w:tmpl w:val="07F6D4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4450953"/>
    <w:multiLevelType w:val="hybridMultilevel"/>
    <w:tmpl w:val="6DC6AD22"/>
    <w:lvl w:ilvl="0" w:tplc="C8A2637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E97065"/>
    <w:multiLevelType w:val="hybridMultilevel"/>
    <w:tmpl w:val="613E06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D773B1C"/>
    <w:multiLevelType w:val="hybridMultilevel"/>
    <w:tmpl w:val="AC7C95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2A4514"/>
    <w:multiLevelType w:val="hybridMultilevel"/>
    <w:tmpl w:val="A642B4C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2"/>
  </w:num>
  <w:num w:numId="4">
    <w:abstractNumId w:val="16"/>
  </w:num>
  <w:num w:numId="5">
    <w:abstractNumId w:val="6"/>
  </w:num>
  <w:num w:numId="6">
    <w:abstractNumId w:val="13"/>
  </w:num>
  <w:num w:numId="7">
    <w:abstractNumId w:val="9"/>
  </w:num>
  <w:num w:numId="8">
    <w:abstractNumId w:val="1"/>
  </w:num>
  <w:num w:numId="9">
    <w:abstractNumId w:val="12"/>
  </w:num>
  <w:num w:numId="10">
    <w:abstractNumId w:val="14"/>
  </w:num>
  <w:num w:numId="11">
    <w:abstractNumId w:val="4"/>
  </w:num>
  <w:num w:numId="12">
    <w:abstractNumId w:val="0"/>
  </w:num>
  <w:num w:numId="13">
    <w:abstractNumId w:val="15"/>
  </w:num>
  <w:num w:numId="14">
    <w:abstractNumId w:val="8"/>
  </w:num>
  <w:num w:numId="15">
    <w:abstractNumId w:val="11"/>
  </w:num>
  <w:num w:numId="16">
    <w:abstractNumId w:val="3"/>
  </w:num>
  <w:num w:numId="17">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158"/>
    <w:rsid w:val="00001014"/>
    <w:rsid w:val="000034C1"/>
    <w:rsid w:val="00003AAA"/>
    <w:rsid w:val="00011D71"/>
    <w:rsid w:val="0001289B"/>
    <w:rsid w:val="00012BFE"/>
    <w:rsid w:val="0001519E"/>
    <w:rsid w:val="00022B17"/>
    <w:rsid w:val="00025716"/>
    <w:rsid w:val="00033951"/>
    <w:rsid w:val="00036301"/>
    <w:rsid w:val="000418ED"/>
    <w:rsid w:val="00041A65"/>
    <w:rsid w:val="0004789E"/>
    <w:rsid w:val="00050997"/>
    <w:rsid w:val="00056FDA"/>
    <w:rsid w:val="00061E8A"/>
    <w:rsid w:val="00062C1C"/>
    <w:rsid w:val="0006684F"/>
    <w:rsid w:val="00067196"/>
    <w:rsid w:val="000673F8"/>
    <w:rsid w:val="00082011"/>
    <w:rsid w:val="00087B42"/>
    <w:rsid w:val="0009006D"/>
    <w:rsid w:val="00093F58"/>
    <w:rsid w:val="000A1FD1"/>
    <w:rsid w:val="000A5B51"/>
    <w:rsid w:val="000A7EA9"/>
    <w:rsid w:val="000B161C"/>
    <w:rsid w:val="000B47A3"/>
    <w:rsid w:val="000C681F"/>
    <w:rsid w:val="000C7076"/>
    <w:rsid w:val="000D18AF"/>
    <w:rsid w:val="000D3CB3"/>
    <w:rsid w:val="000D459D"/>
    <w:rsid w:val="000D677B"/>
    <w:rsid w:val="000D7537"/>
    <w:rsid w:val="000E2813"/>
    <w:rsid w:val="000E73B2"/>
    <w:rsid w:val="000F0513"/>
    <w:rsid w:val="000F1BD0"/>
    <w:rsid w:val="000F7693"/>
    <w:rsid w:val="00102D37"/>
    <w:rsid w:val="00106158"/>
    <w:rsid w:val="001116BE"/>
    <w:rsid w:val="00113195"/>
    <w:rsid w:val="00114737"/>
    <w:rsid w:val="00122DF5"/>
    <w:rsid w:val="00132128"/>
    <w:rsid w:val="00135FBE"/>
    <w:rsid w:val="00140443"/>
    <w:rsid w:val="00141530"/>
    <w:rsid w:val="0014219F"/>
    <w:rsid w:val="001505EA"/>
    <w:rsid w:val="0016174F"/>
    <w:rsid w:val="00164D0C"/>
    <w:rsid w:val="001671A4"/>
    <w:rsid w:val="001711FB"/>
    <w:rsid w:val="00173975"/>
    <w:rsid w:val="00175636"/>
    <w:rsid w:val="001815CE"/>
    <w:rsid w:val="00184224"/>
    <w:rsid w:val="00190D2B"/>
    <w:rsid w:val="00192A64"/>
    <w:rsid w:val="001937B0"/>
    <w:rsid w:val="001A3DCB"/>
    <w:rsid w:val="001A79B2"/>
    <w:rsid w:val="001B0597"/>
    <w:rsid w:val="001B6C5D"/>
    <w:rsid w:val="001C03BE"/>
    <w:rsid w:val="001C17D1"/>
    <w:rsid w:val="001C3B6E"/>
    <w:rsid w:val="001C4EDD"/>
    <w:rsid w:val="001C638F"/>
    <w:rsid w:val="001C64EF"/>
    <w:rsid w:val="001D055B"/>
    <w:rsid w:val="001D5415"/>
    <w:rsid w:val="001D6E3D"/>
    <w:rsid w:val="001D718C"/>
    <w:rsid w:val="001E0905"/>
    <w:rsid w:val="001E18E4"/>
    <w:rsid w:val="001E23A7"/>
    <w:rsid w:val="001E752F"/>
    <w:rsid w:val="001E7FF2"/>
    <w:rsid w:val="001F4C71"/>
    <w:rsid w:val="00202BB4"/>
    <w:rsid w:val="00206B18"/>
    <w:rsid w:val="002107D4"/>
    <w:rsid w:val="00211DB4"/>
    <w:rsid w:val="00215ABA"/>
    <w:rsid w:val="00216061"/>
    <w:rsid w:val="002218C1"/>
    <w:rsid w:val="00223E3E"/>
    <w:rsid w:val="00224356"/>
    <w:rsid w:val="00224850"/>
    <w:rsid w:val="002346AD"/>
    <w:rsid w:val="002414C2"/>
    <w:rsid w:val="00244BE9"/>
    <w:rsid w:val="00247847"/>
    <w:rsid w:val="00255719"/>
    <w:rsid w:val="0025671B"/>
    <w:rsid w:val="00260D50"/>
    <w:rsid w:val="002634B4"/>
    <w:rsid w:val="00270B9F"/>
    <w:rsid w:val="00273121"/>
    <w:rsid w:val="00274D92"/>
    <w:rsid w:val="00285546"/>
    <w:rsid w:val="00285EB5"/>
    <w:rsid w:val="002862AA"/>
    <w:rsid w:val="00286734"/>
    <w:rsid w:val="0028785D"/>
    <w:rsid w:val="00292F07"/>
    <w:rsid w:val="002950E2"/>
    <w:rsid w:val="002A1919"/>
    <w:rsid w:val="002A1AEF"/>
    <w:rsid w:val="002A3296"/>
    <w:rsid w:val="002A41B2"/>
    <w:rsid w:val="002A49A2"/>
    <w:rsid w:val="002A60C7"/>
    <w:rsid w:val="002B00A0"/>
    <w:rsid w:val="002C008E"/>
    <w:rsid w:val="002C16E2"/>
    <w:rsid w:val="002C237F"/>
    <w:rsid w:val="002C321F"/>
    <w:rsid w:val="002C5F59"/>
    <w:rsid w:val="002C6D9D"/>
    <w:rsid w:val="002D1D87"/>
    <w:rsid w:val="002D23F1"/>
    <w:rsid w:val="002E38A0"/>
    <w:rsid w:val="002F056D"/>
    <w:rsid w:val="002F0B5E"/>
    <w:rsid w:val="002F0F3E"/>
    <w:rsid w:val="002F651F"/>
    <w:rsid w:val="003003DC"/>
    <w:rsid w:val="00303371"/>
    <w:rsid w:val="003040F4"/>
    <w:rsid w:val="00321B19"/>
    <w:rsid w:val="00324300"/>
    <w:rsid w:val="00324F1B"/>
    <w:rsid w:val="00335FBF"/>
    <w:rsid w:val="00337728"/>
    <w:rsid w:val="00340288"/>
    <w:rsid w:val="00342D7E"/>
    <w:rsid w:val="0034437D"/>
    <w:rsid w:val="0034666C"/>
    <w:rsid w:val="0034738F"/>
    <w:rsid w:val="003509ED"/>
    <w:rsid w:val="00350F5F"/>
    <w:rsid w:val="00355834"/>
    <w:rsid w:val="00372DEB"/>
    <w:rsid w:val="0037509F"/>
    <w:rsid w:val="003800E2"/>
    <w:rsid w:val="003806EF"/>
    <w:rsid w:val="00380DD2"/>
    <w:rsid w:val="003814DE"/>
    <w:rsid w:val="0038181B"/>
    <w:rsid w:val="00382596"/>
    <w:rsid w:val="00383CEC"/>
    <w:rsid w:val="00393660"/>
    <w:rsid w:val="003938B5"/>
    <w:rsid w:val="003A5AA5"/>
    <w:rsid w:val="003B2AF3"/>
    <w:rsid w:val="003B6381"/>
    <w:rsid w:val="003B7079"/>
    <w:rsid w:val="003C094B"/>
    <w:rsid w:val="003C77EC"/>
    <w:rsid w:val="003D5295"/>
    <w:rsid w:val="003D5400"/>
    <w:rsid w:val="003E1CED"/>
    <w:rsid w:val="003E6625"/>
    <w:rsid w:val="003F2478"/>
    <w:rsid w:val="003F2F47"/>
    <w:rsid w:val="003F5E97"/>
    <w:rsid w:val="0040071B"/>
    <w:rsid w:val="0040124B"/>
    <w:rsid w:val="0040225F"/>
    <w:rsid w:val="004123F5"/>
    <w:rsid w:val="00414ADA"/>
    <w:rsid w:val="004259DB"/>
    <w:rsid w:val="00426D43"/>
    <w:rsid w:val="00431084"/>
    <w:rsid w:val="004332F4"/>
    <w:rsid w:val="00435EEA"/>
    <w:rsid w:val="0043631D"/>
    <w:rsid w:val="00445040"/>
    <w:rsid w:val="00445746"/>
    <w:rsid w:val="00446BF3"/>
    <w:rsid w:val="004509C3"/>
    <w:rsid w:val="00471001"/>
    <w:rsid w:val="00472E55"/>
    <w:rsid w:val="00477380"/>
    <w:rsid w:val="00482F57"/>
    <w:rsid w:val="004879D9"/>
    <w:rsid w:val="00490550"/>
    <w:rsid w:val="004A0BC5"/>
    <w:rsid w:val="004B06EC"/>
    <w:rsid w:val="004B371A"/>
    <w:rsid w:val="004C0F5D"/>
    <w:rsid w:val="004C2B22"/>
    <w:rsid w:val="004C740D"/>
    <w:rsid w:val="004D291C"/>
    <w:rsid w:val="004D3424"/>
    <w:rsid w:val="004D3EB2"/>
    <w:rsid w:val="004D406B"/>
    <w:rsid w:val="004D47FF"/>
    <w:rsid w:val="004D69A2"/>
    <w:rsid w:val="004E1B6E"/>
    <w:rsid w:val="004F0211"/>
    <w:rsid w:val="004F5C2E"/>
    <w:rsid w:val="0050222D"/>
    <w:rsid w:val="0050525A"/>
    <w:rsid w:val="00505DDE"/>
    <w:rsid w:val="00512BF8"/>
    <w:rsid w:val="00516DF4"/>
    <w:rsid w:val="005178D8"/>
    <w:rsid w:val="00523CAA"/>
    <w:rsid w:val="0052690D"/>
    <w:rsid w:val="00527DB5"/>
    <w:rsid w:val="00532059"/>
    <w:rsid w:val="00543561"/>
    <w:rsid w:val="00543F93"/>
    <w:rsid w:val="00546C3A"/>
    <w:rsid w:val="00551731"/>
    <w:rsid w:val="00551C0B"/>
    <w:rsid w:val="00554EAC"/>
    <w:rsid w:val="00561F4A"/>
    <w:rsid w:val="00582ED7"/>
    <w:rsid w:val="005865BF"/>
    <w:rsid w:val="0059003F"/>
    <w:rsid w:val="0059094F"/>
    <w:rsid w:val="005946FD"/>
    <w:rsid w:val="00595E99"/>
    <w:rsid w:val="0059724D"/>
    <w:rsid w:val="005A05CD"/>
    <w:rsid w:val="005A2FE4"/>
    <w:rsid w:val="005B34CE"/>
    <w:rsid w:val="005B55AF"/>
    <w:rsid w:val="005B6D1F"/>
    <w:rsid w:val="005B7F3A"/>
    <w:rsid w:val="005D6B37"/>
    <w:rsid w:val="005D7227"/>
    <w:rsid w:val="005E04B4"/>
    <w:rsid w:val="005E09B2"/>
    <w:rsid w:val="005E195A"/>
    <w:rsid w:val="005E31CF"/>
    <w:rsid w:val="005E63D3"/>
    <w:rsid w:val="005E67DB"/>
    <w:rsid w:val="005F33BA"/>
    <w:rsid w:val="005F74BA"/>
    <w:rsid w:val="006071F7"/>
    <w:rsid w:val="00611F56"/>
    <w:rsid w:val="00621488"/>
    <w:rsid w:val="00621E3F"/>
    <w:rsid w:val="00624B6F"/>
    <w:rsid w:val="00625624"/>
    <w:rsid w:val="00626408"/>
    <w:rsid w:val="006328B5"/>
    <w:rsid w:val="00636382"/>
    <w:rsid w:val="00637199"/>
    <w:rsid w:val="00640ACE"/>
    <w:rsid w:val="0064119E"/>
    <w:rsid w:val="00641236"/>
    <w:rsid w:val="00641380"/>
    <w:rsid w:val="00646F54"/>
    <w:rsid w:val="006516CC"/>
    <w:rsid w:val="00651C60"/>
    <w:rsid w:val="00652EB7"/>
    <w:rsid w:val="00657C4E"/>
    <w:rsid w:val="0066730E"/>
    <w:rsid w:val="0067419C"/>
    <w:rsid w:val="0067554B"/>
    <w:rsid w:val="0067707D"/>
    <w:rsid w:val="00680B1B"/>
    <w:rsid w:val="0068446F"/>
    <w:rsid w:val="00687737"/>
    <w:rsid w:val="00687C6D"/>
    <w:rsid w:val="006926BE"/>
    <w:rsid w:val="00694EED"/>
    <w:rsid w:val="00695C0F"/>
    <w:rsid w:val="006A0B0D"/>
    <w:rsid w:val="006A3B2D"/>
    <w:rsid w:val="006B04E3"/>
    <w:rsid w:val="006B3F8D"/>
    <w:rsid w:val="006B74FC"/>
    <w:rsid w:val="006C234A"/>
    <w:rsid w:val="006D2EEA"/>
    <w:rsid w:val="006D341B"/>
    <w:rsid w:val="006E1179"/>
    <w:rsid w:val="006E1F48"/>
    <w:rsid w:val="006E4032"/>
    <w:rsid w:val="006E71BC"/>
    <w:rsid w:val="006F3929"/>
    <w:rsid w:val="00701291"/>
    <w:rsid w:val="00705291"/>
    <w:rsid w:val="00705B23"/>
    <w:rsid w:val="007076E7"/>
    <w:rsid w:val="00715B06"/>
    <w:rsid w:val="007170A6"/>
    <w:rsid w:val="00720817"/>
    <w:rsid w:val="007236C3"/>
    <w:rsid w:val="00726FCA"/>
    <w:rsid w:val="007331EE"/>
    <w:rsid w:val="00741B70"/>
    <w:rsid w:val="00744B91"/>
    <w:rsid w:val="00745B7E"/>
    <w:rsid w:val="00746ECB"/>
    <w:rsid w:val="00747885"/>
    <w:rsid w:val="0076300F"/>
    <w:rsid w:val="00763AB5"/>
    <w:rsid w:val="007647D9"/>
    <w:rsid w:val="007660A7"/>
    <w:rsid w:val="0076748A"/>
    <w:rsid w:val="00770AC4"/>
    <w:rsid w:val="00792D15"/>
    <w:rsid w:val="00795BD7"/>
    <w:rsid w:val="007A01AE"/>
    <w:rsid w:val="007A2463"/>
    <w:rsid w:val="007A3717"/>
    <w:rsid w:val="007B2120"/>
    <w:rsid w:val="007B3380"/>
    <w:rsid w:val="007B483E"/>
    <w:rsid w:val="007C5C9C"/>
    <w:rsid w:val="007E215C"/>
    <w:rsid w:val="007E7FAD"/>
    <w:rsid w:val="00805B7F"/>
    <w:rsid w:val="008079FE"/>
    <w:rsid w:val="008114E3"/>
    <w:rsid w:val="0082194F"/>
    <w:rsid w:val="00830D5A"/>
    <w:rsid w:val="00834373"/>
    <w:rsid w:val="00835CF0"/>
    <w:rsid w:val="00836307"/>
    <w:rsid w:val="00836822"/>
    <w:rsid w:val="0084593E"/>
    <w:rsid w:val="0085165F"/>
    <w:rsid w:val="00856C15"/>
    <w:rsid w:val="0086095D"/>
    <w:rsid w:val="00861788"/>
    <w:rsid w:val="00866D81"/>
    <w:rsid w:val="00870BF1"/>
    <w:rsid w:val="0087725E"/>
    <w:rsid w:val="008828EB"/>
    <w:rsid w:val="008848F7"/>
    <w:rsid w:val="008978D3"/>
    <w:rsid w:val="008A4FDE"/>
    <w:rsid w:val="008A52AB"/>
    <w:rsid w:val="008B0087"/>
    <w:rsid w:val="008B33A8"/>
    <w:rsid w:val="008B52AE"/>
    <w:rsid w:val="008C2E4B"/>
    <w:rsid w:val="008D3998"/>
    <w:rsid w:val="008D46B8"/>
    <w:rsid w:val="008D7384"/>
    <w:rsid w:val="008E0417"/>
    <w:rsid w:val="008E7343"/>
    <w:rsid w:val="008F1001"/>
    <w:rsid w:val="008F16D5"/>
    <w:rsid w:val="00900699"/>
    <w:rsid w:val="00903262"/>
    <w:rsid w:val="00903368"/>
    <w:rsid w:val="00905C7E"/>
    <w:rsid w:val="009063A8"/>
    <w:rsid w:val="0090749B"/>
    <w:rsid w:val="00907A37"/>
    <w:rsid w:val="00911016"/>
    <w:rsid w:val="009142EB"/>
    <w:rsid w:val="00920741"/>
    <w:rsid w:val="0092263E"/>
    <w:rsid w:val="00926FC2"/>
    <w:rsid w:val="00932773"/>
    <w:rsid w:val="00934212"/>
    <w:rsid w:val="00937122"/>
    <w:rsid w:val="00940BC5"/>
    <w:rsid w:val="009414BA"/>
    <w:rsid w:val="009417EF"/>
    <w:rsid w:val="00942936"/>
    <w:rsid w:val="0094504A"/>
    <w:rsid w:val="009477D0"/>
    <w:rsid w:val="009578F1"/>
    <w:rsid w:val="009635F7"/>
    <w:rsid w:val="00966052"/>
    <w:rsid w:val="00966973"/>
    <w:rsid w:val="009779B4"/>
    <w:rsid w:val="009815BB"/>
    <w:rsid w:val="00981CD9"/>
    <w:rsid w:val="009832D2"/>
    <w:rsid w:val="00992A75"/>
    <w:rsid w:val="0099365F"/>
    <w:rsid w:val="009A5E0F"/>
    <w:rsid w:val="009A64CA"/>
    <w:rsid w:val="009B3B33"/>
    <w:rsid w:val="009B40A1"/>
    <w:rsid w:val="009C1D0A"/>
    <w:rsid w:val="009C3255"/>
    <w:rsid w:val="009C58C7"/>
    <w:rsid w:val="009C7903"/>
    <w:rsid w:val="009D2CCC"/>
    <w:rsid w:val="009D4FCA"/>
    <w:rsid w:val="009D567D"/>
    <w:rsid w:val="009D7A23"/>
    <w:rsid w:val="009E25F8"/>
    <w:rsid w:val="009E34E8"/>
    <w:rsid w:val="009E4483"/>
    <w:rsid w:val="009E62ED"/>
    <w:rsid w:val="009F1D87"/>
    <w:rsid w:val="009F2EA0"/>
    <w:rsid w:val="009F498C"/>
    <w:rsid w:val="009F5304"/>
    <w:rsid w:val="009F60BB"/>
    <w:rsid w:val="00A022D9"/>
    <w:rsid w:val="00A070B7"/>
    <w:rsid w:val="00A21626"/>
    <w:rsid w:val="00A241A2"/>
    <w:rsid w:val="00A25D2F"/>
    <w:rsid w:val="00A26CC0"/>
    <w:rsid w:val="00A340A7"/>
    <w:rsid w:val="00A347E7"/>
    <w:rsid w:val="00A35059"/>
    <w:rsid w:val="00A42F74"/>
    <w:rsid w:val="00A42FF3"/>
    <w:rsid w:val="00A455D1"/>
    <w:rsid w:val="00A4583A"/>
    <w:rsid w:val="00A52FE0"/>
    <w:rsid w:val="00A5481F"/>
    <w:rsid w:val="00A560FA"/>
    <w:rsid w:val="00A568A6"/>
    <w:rsid w:val="00A605BB"/>
    <w:rsid w:val="00A62166"/>
    <w:rsid w:val="00A64477"/>
    <w:rsid w:val="00A700FC"/>
    <w:rsid w:val="00A702F0"/>
    <w:rsid w:val="00A72DED"/>
    <w:rsid w:val="00A763EC"/>
    <w:rsid w:val="00A827B8"/>
    <w:rsid w:val="00A8443E"/>
    <w:rsid w:val="00A86B41"/>
    <w:rsid w:val="00A87968"/>
    <w:rsid w:val="00A92485"/>
    <w:rsid w:val="00A92FB4"/>
    <w:rsid w:val="00AA0CFB"/>
    <w:rsid w:val="00AA784E"/>
    <w:rsid w:val="00AA7FBE"/>
    <w:rsid w:val="00AB17AC"/>
    <w:rsid w:val="00AB4F5E"/>
    <w:rsid w:val="00AC2BBB"/>
    <w:rsid w:val="00AC41F4"/>
    <w:rsid w:val="00AC5113"/>
    <w:rsid w:val="00AD32AE"/>
    <w:rsid w:val="00AD503E"/>
    <w:rsid w:val="00AD6080"/>
    <w:rsid w:val="00AD63CB"/>
    <w:rsid w:val="00AE1389"/>
    <w:rsid w:val="00AE465D"/>
    <w:rsid w:val="00AE6D29"/>
    <w:rsid w:val="00AF0686"/>
    <w:rsid w:val="00AF2A11"/>
    <w:rsid w:val="00AF7C13"/>
    <w:rsid w:val="00B01CAA"/>
    <w:rsid w:val="00B02543"/>
    <w:rsid w:val="00B062B6"/>
    <w:rsid w:val="00B110B2"/>
    <w:rsid w:val="00B14C29"/>
    <w:rsid w:val="00B15FFC"/>
    <w:rsid w:val="00B1757D"/>
    <w:rsid w:val="00B21BE3"/>
    <w:rsid w:val="00B277EE"/>
    <w:rsid w:val="00B3592D"/>
    <w:rsid w:val="00B3721D"/>
    <w:rsid w:val="00B37F94"/>
    <w:rsid w:val="00B47B47"/>
    <w:rsid w:val="00B533B5"/>
    <w:rsid w:val="00B5756E"/>
    <w:rsid w:val="00B610F1"/>
    <w:rsid w:val="00B642A7"/>
    <w:rsid w:val="00B6598B"/>
    <w:rsid w:val="00B67370"/>
    <w:rsid w:val="00B72726"/>
    <w:rsid w:val="00B74790"/>
    <w:rsid w:val="00B75805"/>
    <w:rsid w:val="00B76F99"/>
    <w:rsid w:val="00B828DA"/>
    <w:rsid w:val="00B91D90"/>
    <w:rsid w:val="00B91E6E"/>
    <w:rsid w:val="00B94A43"/>
    <w:rsid w:val="00BA5F3F"/>
    <w:rsid w:val="00BB2951"/>
    <w:rsid w:val="00BB45F8"/>
    <w:rsid w:val="00BB5487"/>
    <w:rsid w:val="00BC0A5B"/>
    <w:rsid w:val="00BC2258"/>
    <w:rsid w:val="00BC32A6"/>
    <w:rsid w:val="00BC34B7"/>
    <w:rsid w:val="00BC4444"/>
    <w:rsid w:val="00BC4A2A"/>
    <w:rsid w:val="00BD5800"/>
    <w:rsid w:val="00BD7869"/>
    <w:rsid w:val="00BE1135"/>
    <w:rsid w:val="00BE53A9"/>
    <w:rsid w:val="00BE7772"/>
    <w:rsid w:val="00BF4649"/>
    <w:rsid w:val="00C019C6"/>
    <w:rsid w:val="00C0259F"/>
    <w:rsid w:val="00C04C2E"/>
    <w:rsid w:val="00C05D6A"/>
    <w:rsid w:val="00C2164C"/>
    <w:rsid w:val="00C37500"/>
    <w:rsid w:val="00C465B7"/>
    <w:rsid w:val="00C4710F"/>
    <w:rsid w:val="00C536E9"/>
    <w:rsid w:val="00C60B90"/>
    <w:rsid w:val="00C62304"/>
    <w:rsid w:val="00C62C6A"/>
    <w:rsid w:val="00C64218"/>
    <w:rsid w:val="00C64C13"/>
    <w:rsid w:val="00C66E52"/>
    <w:rsid w:val="00C67218"/>
    <w:rsid w:val="00C72CEA"/>
    <w:rsid w:val="00C74752"/>
    <w:rsid w:val="00C80FE9"/>
    <w:rsid w:val="00C8679F"/>
    <w:rsid w:val="00C87A95"/>
    <w:rsid w:val="00C91FDE"/>
    <w:rsid w:val="00C930E7"/>
    <w:rsid w:val="00CA02A9"/>
    <w:rsid w:val="00CA7ED8"/>
    <w:rsid w:val="00CB7B7D"/>
    <w:rsid w:val="00CC2454"/>
    <w:rsid w:val="00CC2DC5"/>
    <w:rsid w:val="00CC3762"/>
    <w:rsid w:val="00CC4A06"/>
    <w:rsid w:val="00CD5E03"/>
    <w:rsid w:val="00CD6D7E"/>
    <w:rsid w:val="00CE1BA0"/>
    <w:rsid w:val="00CE24DE"/>
    <w:rsid w:val="00CF1E80"/>
    <w:rsid w:val="00CF510E"/>
    <w:rsid w:val="00CF5A8D"/>
    <w:rsid w:val="00CF5A97"/>
    <w:rsid w:val="00CF65CF"/>
    <w:rsid w:val="00D04051"/>
    <w:rsid w:val="00D04DF9"/>
    <w:rsid w:val="00D07C63"/>
    <w:rsid w:val="00D11B9B"/>
    <w:rsid w:val="00D22E82"/>
    <w:rsid w:val="00D24B2A"/>
    <w:rsid w:val="00D2746E"/>
    <w:rsid w:val="00D352C7"/>
    <w:rsid w:val="00D405B4"/>
    <w:rsid w:val="00D42C01"/>
    <w:rsid w:val="00D51B8A"/>
    <w:rsid w:val="00D520FB"/>
    <w:rsid w:val="00D549C9"/>
    <w:rsid w:val="00D56AEB"/>
    <w:rsid w:val="00D6480D"/>
    <w:rsid w:val="00D65F9A"/>
    <w:rsid w:val="00D705E1"/>
    <w:rsid w:val="00D70AED"/>
    <w:rsid w:val="00D72E6A"/>
    <w:rsid w:val="00D740D5"/>
    <w:rsid w:val="00D8049C"/>
    <w:rsid w:val="00D8182F"/>
    <w:rsid w:val="00D827A3"/>
    <w:rsid w:val="00D900C5"/>
    <w:rsid w:val="00D91701"/>
    <w:rsid w:val="00D918E0"/>
    <w:rsid w:val="00D93679"/>
    <w:rsid w:val="00D978E0"/>
    <w:rsid w:val="00D97D4E"/>
    <w:rsid w:val="00DA085C"/>
    <w:rsid w:val="00DA1F1D"/>
    <w:rsid w:val="00DA2906"/>
    <w:rsid w:val="00DB2A4A"/>
    <w:rsid w:val="00DC01A2"/>
    <w:rsid w:val="00DC0DD1"/>
    <w:rsid w:val="00DC18BF"/>
    <w:rsid w:val="00DC1D71"/>
    <w:rsid w:val="00DC2876"/>
    <w:rsid w:val="00DC2F8D"/>
    <w:rsid w:val="00DC63BE"/>
    <w:rsid w:val="00DC667C"/>
    <w:rsid w:val="00DC76C2"/>
    <w:rsid w:val="00DD3D29"/>
    <w:rsid w:val="00DD4DB8"/>
    <w:rsid w:val="00DD723C"/>
    <w:rsid w:val="00DE6FBD"/>
    <w:rsid w:val="00DF1AFE"/>
    <w:rsid w:val="00E0743E"/>
    <w:rsid w:val="00E07745"/>
    <w:rsid w:val="00E07F4B"/>
    <w:rsid w:val="00E1493A"/>
    <w:rsid w:val="00E16923"/>
    <w:rsid w:val="00E2064B"/>
    <w:rsid w:val="00E210F8"/>
    <w:rsid w:val="00E24017"/>
    <w:rsid w:val="00E25FA3"/>
    <w:rsid w:val="00E31158"/>
    <w:rsid w:val="00E32C29"/>
    <w:rsid w:val="00E35BC4"/>
    <w:rsid w:val="00E37EEB"/>
    <w:rsid w:val="00E401DF"/>
    <w:rsid w:val="00E42D48"/>
    <w:rsid w:val="00E4349C"/>
    <w:rsid w:val="00E43A5A"/>
    <w:rsid w:val="00E55321"/>
    <w:rsid w:val="00E61E45"/>
    <w:rsid w:val="00E63CB5"/>
    <w:rsid w:val="00E640BA"/>
    <w:rsid w:val="00E649EA"/>
    <w:rsid w:val="00E70F9B"/>
    <w:rsid w:val="00E7364D"/>
    <w:rsid w:val="00E7638E"/>
    <w:rsid w:val="00E7654C"/>
    <w:rsid w:val="00E8107A"/>
    <w:rsid w:val="00E84889"/>
    <w:rsid w:val="00E877FD"/>
    <w:rsid w:val="00E91A21"/>
    <w:rsid w:val="00E91ADF"/>
    <w:rsid w:val="00E928AF"/>
    <w:rsid w:val="00E93E7A"/>
    <w:rsid w:val="00E9634C"/>
    <w:rsid w:val="00EA2818"/>
    <w:rsid w:val="00EA3811"/>
    <w:rsid w:val="00EA39E3"/>
    <w:rsid w:val="00EB3AC1"/>
    <w:rsid w:val="00EC0053"/>
    <w:rsid w:val="00EC7153"/>
    <w:rsid w:val="00EF09DB"/>
    <w:rsid w:val="00EF2887"/>
    <w:rsid w:val="00F02EAA"/>
    <w:rsid w:val="00F06260"/>
    <w:rsid w:val="00F06321"/>
    <w:rsid w:val="00F12014"/>
    <w:rsid w:val="00F14B75"/>
    <w:rsid w:val="00F161F4"/>
    <w:rsid w:val="00F16F23"/>
    <w:rsid w:val="00F20F8F"/>
    <w:rsid w:val="00F228EA"/>
    <w:rsid w:val="00F2375B"/>
    <w:rsid w:val="00F2689B"/>
    <w:rsid w:val="00F302D4"/>
    <w:rsid w:val="00F3059B"/>
    <w:rsid w:val="00F32AC3"/>
    <w:rsid w:val="00F37F62"/>
    <w:rsid w:val="00F60E57"/>
    <w:rsid w:val="00F64AAB"/>
    <w:rsid w:val="00F67BC5"/>
    <w:rsid w:val="00F70BF3"/>
    <w:rsid w:val="00F7176C"/>
    <w:rsid w:val="00F7185B"/>
    <w:rsid w:val="00F75189"/>
    <w:rsid w:val="00F80611"/>
    <w:rsid w:val="00F84055"/>
    <w:rsid w:val="00F849D4"/>
    <w:rsid w:val="00F87643"/>
    <w:rsid w:val="00F87CC0"/>
    <w:rsid w:val="00F92EA9"/>
    <w:rsid w:val="00FA1DCA"/>
    <w:rsid w:val="00FA36C1"/>
    <w:rsid w:val="00FB0C08"/>
    <w:rsid w:val="00FB28E2"/>
    <w:rsid w:val="00FB4CC1"/>
    <w:rsid w:val="00FC3641"/>
    <w:rsid w:val="00FC5DE0"/>
    <w:rsid w:val="00FC6A10"/>
    <w:rsid w:val="00FD5A1F"/>
    <w:rsid w:val="00FD7DBF"/>
    <w:rsid w:val="00FE45E0"/>
    <w:rsid w:val="00FE7AA6"/>
    <w:rsid w:val="00FF2374"/>
    <w:rsid w:val="00FF3497"/>
    <w:rsid w:val="00FF5D1F"/>
    <w:rsid w:val="00FF68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CFF9E0F"/>
  <w15:docId w15:val="{8E6873FB-499D-49CA-959C-3F1311CF1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0B0D"/>
    <w:pPr>
      <w:ind w:left="720"/>
      <w:contextualSpacing/>
    </w:pPr>
  </w:style>
  <w:style w:type="table" w:styleId="TableGrid">
    <w:name w:val="Table Grid"/>
    <w:basedOn w:val="TableNormal"/>
    <w:uiPriority w:val="39"/>
    <w:rsid w:val="00286734"/>
    <w:pPr>
      <w:spacing w:after="0" w:line="240" w:lineRule="auto"/>
    </w:pPr>
    <w:rPr>
      <w:sz w:val="24"/>
      <w:szCs w:val="24"/>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076E7"/>
    <w:rPr>
      <w:color w:val="0563C1" w:themeColor="hyperlink"/>
      <w:u w:val="single"/>
    </w:rPr>
  </w:style>
  <w:style w:type="character" w:styleId="CommentReference">
    <w:name w:val="annotation reference"/>
    <w:basedOn w:val="DefaultParagraphFont"/>
    <w:uiPriority w:val="99"/>
    <w:semiHidden/>
    <w:unhideWhenUsed/>
    <w:rsid w:val="001A79B2"/>
    <w:rPr>
      <w:sz w:val="18"/>
      <w:szCs w:val="18"/>
    </w:rPr>
  </w:style>
  <w:style w:type="paragraph" w:styleId="CommentText">
    <w:name w:val="annotation text"/>
    <w:basedOn w:val="Normal"/>
    <w:link w:val="CommentTextChar"/>
    <w:uiPriority w:val="99"/>
    <w:unhideWhenUsed/>
    <w:rsid w:val="001A79B2"/>
    <w:pPr>
      <w:spacing w:line="240" w:lineRule="auto"/>
    </w:pPr>
    <w:rPr>
      <w:sz w:val="24"/>
      <w:szCs w:val="24"/>
    </w:rPr>
  </w:style>
  <w:style w:type="character" w:customStyle="1" w:styleId="CommentTextChar">
    <w:name w:val="Comment Text Char"/>
    <w:basedOn w:val="DefaultParagraphFont"/>
    <w:link w:val="CommentText"/>
    <w:uiPriority w:val="99"/>
    <w:rsid w:val="001A79B2"/>
    <w:rPr>
      <w:sz w:val="24"/>
      <w:szCs w:val="24"/>
    </w:rPr>
  </w:style>
  <w:style w:type="paragraph" w:styleId="CommentSubject">
    <w:name w:val="annotation subject"/>
    <w:basedOn w:val="CommentText"/>
    <w:next w:val="CommentText"/>
    <w:link w:val="CommentSubjectChar"/>
    <w:uiPriority w:val="99"/>
    <w:semiHidden/>
    <w:unhideWhenUsed/>
    <w:rsid w:val="001A79B2"/>
    <w:rPr>
      <w:b/>
      <w:bCs/>
      <w:sz w:val="20"/>
      <w:szCs w:val="20"/>
    </w:rPr>
  </w:style>
  <w:style w:type="character" w:customStyle="1" w:styleId="CommentSubjectChar">
    <w:name w:val="Comment Subject Char"/>
    <w:basedOn w:val="CommentTextChar"/>
    <w:link w:val="CommentSubject"/>
    <w:uiPriority w:val="99"/>
    <w:semiHidden/>
    <w:rsid w:val="001A79B2"/>
    <w:rPr>
      <w:b/>
      <w:bCs/>
      <w:sz w:val="20"/>
      <w:szCs w:val="20"/>
    </w:rPr>
  </w:style>
  <w:style w:type="paragraph" w:styleId="BalloonText">
    <w:name w:val="Balloon Text"/>
    <w:basedOn w:val="Normal"/>
    <w:link w:val="BalloonTextChar"/>
    <w:uiPriority w:val="99"/>
    <w:semiHidden/>
    <w:unhideWhenUsed/>
    <w:rsid w:val="001A79B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A79B2"/>
    <w:rPr>
      <w:rFonts w:ascii="Lucida Grande" w:hAnsi="Lucida Grande" w:cs="Lucida Grande"/>
      <w:sz w:val="18"/>
      <w:szCs w:val="18"/>
    </w:rPr>
  </w:style>
  <w:style w:type="paragraph" w:styleId="Revision">
    <w:name w:val="Revision"/>
    <w:hidden/>
    <w:uiPriority w:val="99"/>
    <w:semiHidden/>
    <w:rsid w:val="00595E99"/>
    <w:pPr>
      <w:spacing w:after="0" w:line="240" w:lineRule="auto"/>
    </w:pPr>
  </w:style>
  <w:style w:type="paragraph" w:styleId="FootnoteText">
    <w:name w:val="footnote text"/>
    <w:basedOn w:val="Normal"/>
    <w:link w:val="FootnoteTextChar"/>
    <w:uiPriority w:val="99"/>
    <w:unhideWhenUsed/>
    <w:rsid w:val="004D291C"/>
    <w:pPr>
      <w:spacing w:after="0" w:line="240" w:lineRule="auto"/>
    </w:pPr>
    <w:rPr>
      <w:sz w:val="24"/>
      <w:szCs w:val="24"/>
    </w:rPr>
  </w:style>
  <w:style w:type="character" w:customStyle="1" w:styleId="FootnoteTextChar">
    <w:name w:val="Footnote Text Char"/>
    <w:basedOn w:val="DefaultParagraphFont"/>
    <w:link w:val="FootnoteText"/>
    <w:uiPriority w:val="99"/>
    <w:rsid w:val="004D291C"/>
    <w:rPr>
      <w:sz w:val="24"/>
      <w:szCs w:val="24"/>
    </w:rPr>
  </w:style>
  <w:style w:type="character" w:styleId="FootnoteReference">
    <w:name w:val="footnote reference"/>
    <w:basedOn w:val="DefaultParagraphFont"/>
    <w:uiPriority w:val="99"/>
    <w:unhideWhenUsed/>
    <w:rsid w:val="004D291C"/>
    <w:rPr>
      <w:vertAlign w:val="superscript"/>
    </w:rPr>
  </w:style>
  <w:style w:type="paragraph" w:styleId="NormalWeb">
    <w:name w:val="Normal (Web)"/>
    <w:basedOn w:val="Normal"/>
    <w:uiPriority w:val="99"/>
    <w:unhideWhenUsed/>
    <w:rsid w:val="00001014"/>
    <w:pPr>
      <w:spacing w:before="100" w:beforeAutospacing="1" w:after="100" w:afterAutospacing="1" w:line="240" w:lineRule="auto"/>
    </w:pPr>
    <w:rPr>
      <w:rFonts w:ascii="Times" w:hAnsi="Times" w:cs="Times New Roman"/>
      <w:sz w:val="20"/>
      <w:szCs w:val="20"/>
      <w:lang w:val="en-GB"/>
    </w:rPr>
  </w:style>
  <w:style w:type="table" w:styleId="LightList-Accent5">
    <w:name w:val="Light List Accent 5"/>
    <w:basedOn w:val="TableNormal"/>
    <w:uiPriority w:val="61"/>
    <w:rsid w:val="003C094B"/>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character" w:styleId="FollowedHyperlink">
    <w:name w:val="FollowedHyperlink"/>
    <w:basedOn w:val="DefaultParagraphFont"/>
    <w:uiPriority w:val="99"/>
    <w:semiHidden/>
    <w:unhideWhenUsed/>
    <w:rsid w:val="008B52AE"/>
    <w:rPr>
      <w:color w:val="954F72" w:themeColor="followedHyperlink"/>
      <w:u w:val="single"/>
    </w:rPr>
  </w:style>
  <w:style w:type="character" w:customStyle="1" w:styleId="apple-converted-space">
    <w:name w:val="apple-converted-space"/>
    <w:basedOn w:val="DefaultParagraphFont"/>
    <w:rsid w:val="0043631D"/>
  </w:style>
  <w:style w:type="table" w:customStyle="1" w:styleId="TableGrid1">
    <w:name w:val="Table Grid1"/>
    <w:basedOn w:val="TableNormal"/>
    <w:next w:val="TableGrid"/>
    <w:uiPriority w:val="59"/>
    <w:rsid w:val="00A560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1135"/>
    <w:pPr>
      <w:tabs>
        <w:tab w:val="center" w:pos="4320"/>
        <w:tab w:val="right" w:pos="8640"/>
      </w:tabs>
      <w:spacing w:after="0" w:line="240" w:lineRule="auto"/>
    </w:pPr>
  </w:style>
  <w:style w:type="character" w:customStyle="1" w:styleId="HeaderChar">
    <w:name w:val="Header Char"/>
    <w:basedOn w:val="DefaultParagraphFont"/>
    <w:link w:val="Header"/>
    <w:uiPriority w:val="99"/>
    <w:rsid w:val="00BE1135"/>
  </w:style>
  <w:style w:type="paragraph" w:styleId="Footer">
    <w:name w:val="footer"/>
    <w:basedOn w:val="Normal"/>
    <w:link w:val="FooterChar"/>
    <w:uiPriority w:val="99"/>
    <w:unhideWhenUsed/>
    <w:rsid w:val="00BE1135"/>
    <w:pPr>
      <w:tabs>
        <w:tab w:val="center" w:pos="4320"/>
        <w:tab w:val="right" w:pos="8640"/>
      </w:tabs>
      <w:spacing w:after="0" w:line="240" w:lineRule="auto"/>
    </w:pPr>
  </w:style>
  <w:style w:type="character" w:customStyle="1" w:styleId="FooterChar">
    <w:name w:val="Footer Char"/>
    <w:basedOn w:val="DefaultParagraphFont"/>
    <w:link w:val="Footer"/>
    <w:uiPriority w:val="99"/>
    <w:rsid w:val="00BE1135"/>
  </w:style>
  <w:style w:type="character" w:styleId="UnresolvedMention">
    <w:name w:val="Unresolved Mention"/>
    <w:basedOn w:val="DefaultParagraphFont"/>
    <w:uiPriority w:val="99"/>
    <w:semiHidden/>
    <w:unhideWhenUsed/>
    <w:rsid w:val="003509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0866">
      <w:bodyDiv w:val="1"/>
      <w:marLeft w:val="0"/>
      <w:marRight w:val="0"/>
      <w:marTop w:val="0"/>
      <w:marBottom w:val="0"/>
      <w:divBdr>
        <w:top w:val="none" w:sz="0" w:space="0" w:color="auto"/>
        <w:left w:val="none" w:sz="0" w:space="0" w:color="auto"/>
        <w:bottom w:val="none" w:sz="0" w:space="0" w:color="auto"/>
        <w:right w:val="none" w:sz="0" w:space="0" w:color="auto"/>
      </w:divBdr>
      <w:divsChild>
        <w:div w:id="1805149671">
          <w:marLeft w:val="547"/>
          <w:marRight w:val="0"/>
          <w:marTop w:val="106"/>
          <w:marBottom w:val="0"/>
          <w:divBdr>
            <w:top w:val="none" w:sz="0" w:space="0" w:color="auto"/>
            <w:left w:val="none" w:sz="0" w:space="0" w:color="auto"/>
            <w:bottom w:val="none" w:sz="0" w:space="0" w:color="auto"/>
            <w:right w:val="none" w:sz="0" w:space="0" w:color="auto"/>
          </w:divBdr>
        </w:div>
      </w:divsChild>
    </w:div>
    <w:div w:id="5257777">
      <w:bodyDiv w:val="1"/>
      <w:marLeft w:val="0"/>
      <w:marRight w:val="0"/>
      <w:marTop w:val="0"/>
      <w:marBottom w:val="0"/>
      <w:divBdr>
        <w:top w:val="none" w:sz="0" w:space="0" w:color="auto"/>
        <w:left w:val="none" w:sz="0" w:space="0" w:color="auto"/>
        <w:bottom w:val="none" w:sz="0" w:space="0" w:color="auto"/>
        <w:right w:val="none" w:sz="0" w:space="0" w:color="auto"/>
      </w:divBdr>
    </w:div>
    <w:div w:id="12418280">
      <w:bodyDiv w:val="1"/>
      <w:marLeft w:val="0"/>
      <w:marRight w:val="0"/>
      <w:marTop w:val="0"/>
      <w:marBottom w:val="0"/>
      <w:divBdr>
        <w:top w:val="none" w:sz="0" w:space="0" w:color="auto"/>
        <w:left w:val="none" w:sz="0" w:space="0" w:color="auto"/>
        <w:bottom w:val="none" w:sz="0" w:space="0" w:color="auto"/>
        <w:right w:val="none" w:sz="0" w:space="0" w:color="auto"/>
      </w:divBdr>
    </w:div>
    <w:div w:id="27418838">
      <w:bodyDiv w:val="1"/>
      <w:marLeft w:val="0"/>
      <w:marRight w:val="0"/>
      <w:marTop w:val="0"/>
      <w:marBottom w:val="0"/>
      <w:divBdr>
        <w:top w:val="none" w:sz="0" w:space="0" w:color="auto"/>
        <w:left w:val="none" w:sz="0" w:space="0" w:color="auto"/>
        <w:bottom w:val="none" w:sz="0" w:space="0" w:color="auto"/>
        <w:right w:val="none" w:sz="0" w:space="0" w:color="auto"/>
      </w:divBdr>
    </w:div>
    <w:div w:id="62341746">
      <w:bodyDiv w:val="1"/>
      <w:marLeft w:val="0"/>
      <w:marRight w:val="0"/>
      <w:marTop w:val="0"/>
      <w:marBottom w:val="0"/>
      <w:divBdr>
        <w:top w:val="none" w:sz="0" w:space="0" w:color="auto"/>
        <w:left w:val="none" w:sz="0" w:space="0" w:color="auto"/>
        <w:bottom w:val="none" w:sz="0" w:space="0" w:color="auto"/>
        <w:right w:val="none" w:sz="0" w:space="0" w:color="auto"/>
      </w:divBdr>
    </w:div>
    <w:div w:id="88238217">
      <w:bodyDiv w:val="1"/>
      <w:marLeft w:val="0"/>
      <w:marRight w:val="0"/>
      <w:marTop w:val="0"/>
      <w:marBottom w:val="0"/>
      <w:divBdr>
        <w:top w:val="none" w:sz="0" w:space="0" w:color="auto"/>
        <w:left w:val="none" w:sz="0" w:space="0" w:color="auto"/>
        <w:bottom w:val="none" w:sz="0" w:space="0" w:color="auto"/>
        <w:right w:val="none" w:sz="0" w:space="0" w:color="auto"/>
      </w:divBdr>
    </w:div>
    <w:div w:id="112751588">
      <w:bodyDiv w:val="1"/>
      <w:marLeft w:val="0"/>
      <w:marRight w:val="0"/>
      <w:marTop w:val="0"/>
      <w:marBottom w:val="0"/>
      <w:divBdr>
        <w:top w:val="none" w:sz="0" w:space="0" w:color="auto"/>
        <w:left w:val="none" w:sz="0" w:space="0" w:color="auto"/>
        <w:bottom w:val="none" w:sz="0" w:space="0" w:color="auto"/>
        <w:right w:val="none" w:sz="0" w:space="0" w:color="auto"/>
      </w:divBdr>
    </w:div>
    <w:div w:id="252052288">
      <w:bodyDiv w:val="1"/>
      <w:marLeft w:val="0"/>
      <w:marRight w:val="0"/>
      <w:marTop w:val="0"/>
      <w:marBottom w:val="0"/>
      <w:divBdr>
        <w:top w:val="none" w:sz="0" w:space="0" w:color="auto"/>
        <w:left w:val="none" w:sz="0" w:space="0" w:color="auto"/>
        <w:bottom w:val="none" w:sz="0" w:space="0" w:color="auto"/>
        <w:right w:val="none" w:sz="0" w:space="0" w:color="auto"/>
      </w:divBdr>
    </w:div>
    <w:div w:id="373769623">
      <w:bodyDiv w:val="1"/>
      <w:marLeft w:val="0"/>
      <w:marRight w:val="0"/>
      <w:marTop w:val="0"/>
      <w:marBottom w:val="0"/>
      <w:divBdr>
        <w:top w:val="none" w:sz="0" w:space="0" w:color="auto"/>
        <w:left w:val="none" w:sz="0" w:space="0" w:color="auto"/>
        <w:bottom w:val="none" w:sz="0" w:space="0" w:color="auto"/>
        <w:right w:val="none" w:sz="0" w:space="0" w:color="auto"/>
      </w:divBdr>
    </w:div>
    <w:div w:id="399984824">
      <w:bodyDiv w:val="1"/>
      <w:marLeft w:val="0"/>
      <w:marRight w:val="0"/>
      <w:marTop w:val="0"/>
      <w:marBottom w:val="0"/>
      <w:divBdr>
        <w:top w:val="none" w:sz="0" w:space="0" w:color="auto"/>
        <w:left w:val="none" w:sz="0" w:space="0" w:color="auto"/>
        <w:bottom w:val="none" w:sz="0" w:space="0" w:color="auto"/>
        <w:right w:val="none" w:sz="0" w:space="0" w:color="auto"/>
      </w:divBdr>
    </w:div>
    <w:div w:id="415443871">
      <w:bodyDiv w:val="1"/>
      <w:marLeft w:val="0"/>
      <w:marRight w:val="0"/>
      <w:marTop w:val="0"/>
      <w:marBottom w:val="0"/>
      <w:divBdr>
        <w:top w:val="none" w:sz="0" w:space="0" w:color="auto"/>
        <w:left w:val="none" w:sz="0" w:space="0" w:color="auto"/>
        <w:bottom w:val="none" w:sz="0" w:space="0" w:color="auto"/>
        <w:right w:val="none" w:sz="0" w:space="0" w:color="auto"/>
      </w:divBdr>
    </w:div>
    <w:div w:id="439448275">
      <w:bodyDiv w:val="1"/>
      <w:marLeft w:val="0"/>
      <w:marRight w:val="0"/>
      <w:marTop w:val="0"/>
      <w:marBottom w:val="0"/>
      <w:divBdr>
        <w:top w:val="none" w:sz="0" w:space="0" w:color="auto"/>
        <w:left w:val="none" w:sz="0" w:space="0" w:color="auto"/>
        <w:bottom w:val="none" w:sz="0" w:space="0" w:color="auto"/>
        <w:right w:val="none" w:sz="0" w:space="0" w:color="auto"/>
      </w:divBdr>
    </w:div>
    <w:div w:id="501048552">
      <w:bodyDiv w:val="1"/>
      <w:marLeft w:val="0"/>
      <w:marRight w:val="0"/>
      <w:marTop w:val="0"/>
      <w:marBottom w:val="0"/>
      <w:divBdr>
        <w:top w:val="none" w:sz="0" w:space="0" w:color="auto"/>
        <w:left w:val="none" w:sz="0" w:space="0" w:color="auto"/>
        <w:bottom w:val="none" w:sz="0" w:space="0" w:color="auto"/>
        <w:right w:val="none" w:sz="0" w:space="0" w:color="auto"/>
      </w:divBdr>
      <w:divsChild>
        <w:div w:id="1818959573">
          <w:marLeft w:val="547"/>
          <w:marRight w:val="0"/>
          <w:marTop w:val="86"/>
          <w:marBottom w:val="0"/>
          <w:divBdr>
            <w:top w:val="none" w:sz="0" w:space="0" w:color="auto"/>
            <w:left w:val="none" w:sz="0" w:space="0" w:color="auto"/>
            <w:bottom w:val="none" w:sz="0" w:space="0" w:color="auto"/>
            <w:right w:val="none" w:sz="0" w:space="0" w:color="auto"/>
          </w:divBdr>
        </w:div>
        <w:div w:id="924413163">
          <w:marLeft w:val="547"/>
          <w:marRight w:val="0"/>
          <w:marTop w:val="86"/>
          <w:marBottom w:val="0"/>
          <w:divBdr>
            <w:top w:val="none" w:sz="0" w:space="0" w:color="auto"/>
            <w:left w:val="none" w:sz="0" w:space="0" w:color="auto"/>
            <w:bottom w:val="none" w:sz="0" w:space="0" w:color="auto"/>
            <w:right w:val="none" w:sz="0" w:space="0" w:color="auto"/>
          </w:divBdr>
        </w:div>
        <w:div w:id="188496665">
          <w:marLeft w:val="547"/>
          <w:marRight w:val="0"/>
          <w:marTop w:val="86"/>
          <w:marBottom w:val="0"/>
          <w:divBdr>
            <w:top w:val="none" w:sz="0" w:space="0" w:color="auto"/>
            <w:left w:val="none" w:sz="0" w:space="0" w:color="auto"/>
            <w:bottom w:val="none" w:sz="0" w:space="0" w:color="auto"/>
            <w:right w:val="none" w:sz="0" w:space="0" w:color="auto"/>
          </w:divBdr>
        </w:div>
        <w:div w:id="524834095">
          <w:marLeft w:val="547"/>
          <w:marRight w:val="0"/>
          <w:marTop w:val="86"/>
          <w:marBottom w:val="0"/>
          <w:divBdr>
            <w:top w:val="none" w:sz="0" w:space="0" w:color="auto"/>
            <w:left w:val="none" w:sz="0" w:space="0" w:color="auto"/>
            <w:bottom w:val="none" w:sz="0" w:space="0" w:color="auto"/>
            <w:right w:val="none" w:sz="0" w:space="0" w:color="auto"/>
          </w:divBdr>
        </w:div>
        <w:div w:id="1659577164">
          <w:marLeft w:val="547"/>
          <w:marRight w:val="0"/>
          <w:marTop w:val="86"/>
          <w:marBottom w:val="0"/>
          <w:divBdr>
            <w:top w:val="none" w:sz="0" w:space="0" w:color="auto"/>
            <w:left w:val="none" w:sz="0" w:space="0" w:color="auto"/>
            <w:bottom w:val="none" w:sz="0" w:space="0" w:color="auto"/>
            <w:right w:val="none" w:sz="0" w:space="0" w:color="auto"/>
          </w:divBdr>
        </w:div>
      </w:divsChild>
    </w:div>
    <w:div w:id="566460161">
      <w:bodyDiv w:val="1"/>
      <w:marLeft w:val="0"/>
      <w:marRight w:val="0"/>
      <w:marTop w:val="0"/>
      <w:marBottom w:val="0"/>
      <w:divBdr>
        <w:top w:val="none" w:sz="0" w:space="0" w:color="auto"/>
        <w:left w:val="none" w:sz="0" w:space="0" w:color="auto"/>
        <w:bottom w:val="none" w:sz="0" w:space="0" w:color="auto"/>
        <w:right w:val="none" w:sz="0" w:space="0" w:color="auto"/>
      </w:divBdr>
    </w:div>
    <w:div w:id="586227047">
      <w:bodyDiv w:val="1"/>
      <w:marLeft w:val="0"/>
      <w:marRight w:val="0"/>
      <w:marTop w:val="0"/>
      <w:marBottom w:val="0"/>
      <w:divBdr>
        <w:top w:val="none" w:sz="0" w:space="0" w:color="auto"/>
        <w:left w:val="none" w:sz="0" w:space="0" w:color="auto"/>
        <w:bottom w:val="none" w:sz="0" w:space="0" w:color="auto"/>
        <w:right w:val="none" w:sz="0" w:space="0" w:color="auto"/>
      </w:divBdr>
      <w:divsChild>
        <w:div w:id="753279537">
          <w:marLeft w:val="806"/>
          <w:marRight w:val="0"/>
          <w:marTop w:val="96"/>
          <w:marBottom w:val="0"/>
          <w:divBdr>
            <w:top w:val="none" w:sz="0" w:space="0" w:color="auto"/>
            <w:left w:val="none" w:sz="0" w:space="0" w:color="auto"/>
            <w:bottom w:val="none" w:sz="0" w:space="0" w:color="auto"/>
            <w:right w:val="none" w:sz="0" w:space="0" w:color="auto"/>
          </w:divBdr>
        </w:div>
        <w:div w:id="2112357294">
          <w:marLeft w:val="547"/>
          <w:marRight w:val="0"/>
          <w:marTop w:val="86"/>
          <w:marBottom w:val="0"/>
          <w:divBdr>
            <w:top w:val="none" w:sz="0" w:space="0" w:color="auto"/>
            <w:left w:val="none" w:sz="0" w:space="0" w:color="auto"/>
            <w:bottom w:val="none" w:sz="0" w:space="0" w:color="auto"/>
            <w:right w:val="none" w:sz="0" w:space="0" w:color="auto"/>
          </w:divBdr>
        </w:div>
        <w:div w:id="872618771">
          <w:marLeft w:val="547"/>
          <w:marRight w:val="0"/>
          <w:marTop w:val="86"/>
          <w:marBottom w:val="0"/>
          <w:divBdr>
            <w:top w:val="none" w:sz="0" w:space="0" w:color="auto"/>
            <w:left w:val="none" w:sz="0" w:space="0" w:color="auto"/>
            <w:bottom w:val="none" w:sz="0" w:space="0" w:color="auto"/>
            <w:right w:val="none" w:sz="0" w:space="0" w:color="auto"/>
          </w:divBdr>
        </w:div>
        <w:div w:id="941109922">
          <w:marLeft w:val="547"/>
          <w:marRight w:val="0"/>
          <w:marTop w:val="86"/>
          <w:marBottom w:val="0"/>
          <w:divBdr>
            <w:top w:val="none" w:sz="0" w:space="0" w:color="auto"/>
            <w:left w:val="none" w:sz="0" w:space="0" w:color="auto"/>
            <w:bottom w:val="none" w:sz="0" w:space="0" w:color="auto"/>
            <w:right w:val="none" w:sz="0" w:space="0" w:color="auto"/>
          </w:divBdr>
        </w:div>
        <w:div w:id="3552969">
          <w:marLeft w:val="547"/>
          <w:marRight w:val="0"/>
          <w:marTop w:val="86"/>
          <w:marBottom w:val="0"/>
          <w:divBdr>
            <w:top w:val="none" w:sz="0" w:space="0" w:color="auto"/>
            <w:left w:val="none" w:sz="0" w:space="0" w:color="auto"/>
            <w:bottom w:val="none" w:sz="0" w:space="0" w:color="auto"/>
            <w:right w:val="none" w:sz="0" w:space="0" w:color="auto"/>
          </w:divBdr>
        </w:div>
        <w:div w:id="284426600">
          <w:marLeft w:val="547"/>
          <w:marRight w:val="0"/>
          <w:marTop w:val="86"/>
          <w:marBottom w:val="0"/>
          <w:divBdr>
            <w:top w:val="none" w:sz="0" w:space="0" w:color="auto"/>
            <w:left w:val="none" w:sz="0" w:space="0" w:color="auto"/>
            <w:bottom w:val="none" w:sz="0" w:space="0" w:color="auto"/>
            <w:right w:val="none" w:sz="0" w:space="0" w:color="auto"/>
          </w:divBdr>
        </w:div>
        <w:div w:id="2044862300">
          <w:marLeft w:val="547"/>
          <w:marRight w:val="0"/>
          <w:marTop w:val="86"/>
          <w:marBottom w:val="0"/>
          <w:divBdr>
            <w:top w:val="none" w:sz="0" w:space="0" w:color="auto"/>
            <w:left w:val="none" w:sz="0" w:space="0" w:color="auto"/>
            <w:bottom w:val="none" w:sz="0" w:space="0" w:color="auto"/>
            <w:right w:val="none" w:sz="0" w:space="0" w:color="auto"/>
          </w:divBdr>
        </w:div>
        <w:div w:id="345792654">
          <w:marLeft w:val="547"/>
          <w:marRight w:val="0"/>
          <w:marTop w:val="86"/>
          <w:marBottom w:val="0"/>
          <w:divBdr>
            <w:top w:val="none" w:sz="0" w:space="0" w:color="auto"/>
            <w:left w:val="none" w:sz="0" w:space="0" w:color="auto"/>
            <w:bottom w:val="none" w:sz="0" w:space="0" w:color="auto"/>
            <w:right w:val="none" w:sz="0" w:space="0" w:color="auto"/>
          </w:divBdr>
        </w:div>
        <w:div w:id="304939595">
          <w:marLeft w:val="547"/>
          <w:marRight w:val="0"/>
          <w:marTop w:val="86"/>
          <w:marBottom w:val="0"/>
          <w:divBdr>
            <w:top w:val="none" w:sz="0" w:space="0" w:color="auto"/>
            <w:left w:val="none" w:sz="0" w:space="0" w:color="auto"/>
            <w:bottom w:val="none" w:sz="0" w:space="0" w:color="auto"/>
            <w:right w:val="none" w:sz="0" w:space="0" w:color="auto"/>
          </w:divBdr>
        </w:div>
        <w:div w:id="464196715">
          <w:marLeft w:val="547"/>
          <w:marRight w:val="0"/>
          <w:marTop w:val="86"/>
          <w:marBottom w:val="0"/>
          <w:divBdr>
            <w:top w:val="none" w:sz="0" w:space="0" w:color="auto"/>
            <w:left w:val="none" w:sz="0" w:space="0" w:color="auto"/>
            <w:bottom w:val="none" w:sz="0" w:space="0" w:color="auto"/>
            <w:right w:val="none" w:sz="0" w:space="0" w:color="auto"/>
          </w:divBdr>
        </w:div>
        <w:div w:id="358362938">
          <w:marLeft w:val="547"/>
          <w:marRight w:val="0"/>
          <w:marTop w:val="86"/>
          <w:marBottom w:val="0"/>
          <w:divBdr>
            <w:top w:val="none" w:sz="0" w:space="0" w:color="auto"/>
            <w:left w:val="none" w:sz="0" w:space="0" w:color="auto"/>
            <w:bottom w:val="none" w:sz="0" w:space="0" w:color="auto"/>
            <w:right w:val="none" w:sz="0" w:space="0" w:color="auto"/>
          </w:divBdr>
        </w:div>
        <w:div w:id="1208104577">
          <w:marLeft w:val="547"/>
          <w:marRight w:val="0"/>
          <w:marTop w:val="86"/>
          <w:marBottom w:val="0"/>
          <w:divBdr>
            <w:top w:val="none" w:sz="0" w:space="0" w:color="auto"/>
            <w:left w:val="none" w:sz="0" w:space="0" w:color="auto"/>
            <w:bottom w:val="none" w:sz="0" w:space="0" w:color="auto"/>
            <w:right w:val="none" w:sz="0" w:space="0" w:color="auto"/>
          </w:divBdr>
        </w:div>
        <w:div w:id="130558650">
          <w:marLeft w:val="547"/>
          <w:marRight w:val="0"/>
          <w:marTop w:val="86"/>
          <w:marBottom w:val="0"/>
          <w:divBdr>
            <w:top w:val="none" w:sz="0" w:space="0" w:color="auto"/>
            <w:left w:val="none" w:sz="0" w:space="0" w:color="auto"/>
            <w:bottom w:val="none" w:sz="0" w:space="0" w:color="auto"/>
            <w:right w:val="none" w:sz="0" w:space="0" w:color="auto"/>
          </w:divBdr>
        </w:div>
        <w:div w:id="2001347214">
          <w:marLeft w:val="547"/>
          <w:marRight w:val="0"/>
          <w:marTop w:val="86"/>
          <w:marBottom w:val="0"/>
          <w:divBdr>
            <w:top w:val="none" w:sz="0" w:space="0" w:color="auto"/>
            <w:left w:val="none" w:sz="0" w:space="0" w:color="auto"/>
            <w:bottom w:val="none" w:sz="0" w:space="0" w:color="auto"/>
            <w:right w:val="none" w:sz="0" w:space="0" w:color="auto"/>
          </w:divBdr>
        </w:div>
      </w:divsChild>
    </w:div>
    <w:div w:id="626081438">
      <w:bodyDiv w:val="1"/>
      <w:marLeft w:val="0"/>
      <w:marRight w:val="0"/>
      <w:marTop w:val="0"/>
      <w:marBottom w:val="0"/>
      <w:divBdr>
        <w:top w:val="none" w:sz="0" w:space="0" w:color="auto"/>
        <w:left w:val="none" w:sz="0" w:space="0" w:color="auto"/>
        <w:bottom w:val="none" w:sz="0" w:space="0" w:color="auto"/>
        <w:right w:val="none" w:sz="0" w:space="0" w:color="auto"/>
      </w:divBdr>
    </w:div>
    <w:div w:id="679746360">
      <w:bodyDiv w:val="1"/>
      <w:marLeft w:val="0"/>
      <w:marRight w:val="0"/>
      <w:marTop w:val="0"/>
      <w:marBottom w:val="0"/>
      <w:divBdr>
        <w:top w:val="none" w:sz="0" w:space="0" w:color="auto"/>
        <w:left w:val="none" w:sz="0" w:space="0" w:color="auto"/>
        <w:bottom w:val="none" w:sz="0" w:space="0" w:color="auto"/>
        <w:right w:val="none" w:sz="0" w:space="0" w:color="auto"/>
      </w:divBdr>
    </w:div>
    <w:div w:id="683289081">
      <w:bodyDiv w:val="1"/>
      <w:marLeft w:val="0"/>
      <w:marRight w:val="0"/>
      <w:marTop w:val="0"/>
      <w:marBottom w:val="0"/>
      <w:divBdr>
        <w:top w:val="none" w:sz="0" w:space="0" w:color="auto"/>
        <w:left w:val="none" w:sz="0" w:space="0" w:color="auto"/>
        <w:bottom w:val="none" w:sz="0" w:space="0" w:color="auto"/>
        <w:right w:val="none" w:sz="0" w:space="0" w:color="auto"/>
      </w:divBdr>
    </w:div>
    <w:div w:id="718015930">
      <w:bodyDiv w:val="1"/>
      <w:marLeft w:val="0"/>
      <w:marRight w:val="0"/>
      <w:marTop w:val="0"/>
      <w:marBottom w:val="0"/>
      <w:divBdr>
        <w:top w:val="none" w:sz="0" w:space="0" w:color="auto"/>
        <w:left w:val="none" w:sz="0" w:space="0" w:color="auto"/>
        <w:bottom w:val="none" w:sz="0" w:space="0" w:color="auto"/>
        <w:right w:val="none" w:sz="0" w:space="0" w:color="auto"/>
      </w:divBdr>
    </w:div>
    <w:div w:id="739911681">
      <w:bodyDiv w:val="1"/>
      <w:marLeft w:val="0"/>
      <w:marRight w:val="0"/>
      <w:marTop w:val="0"/>
      <w:marBottom w:val="0"/>
      <w:divBdr>
        <w:top w:val="none" w:sz="0" w:space="0" w:color="auto"/>
        <w:left w:val="none" w:sz="0" w:space="0" w:color="auto"/>
        <w:bottom w:val="none" w:sz="0" w:space="0" w:color="auto"/>
        <w:right w:val="none" w:sz="0" w:space="0" w:color="auto"/>
      </w:divBdr>
    </w:div>
    <w:div w:id="794912219">
      <w:bodyDiv w:val="1"/>
      <w:marLeft w:val="0"/>
      <w:marRight w:val="0"/>
      <w:marTop w:val="0"/>
      <w:marBottom w:val="0"/>
      <w:divBdr>
        <w:top w:val="none" w:sz="0" w:space="0" w:color="auto"/>
        <w:left w:val="none" w:sz="0" w:space="0" w:color="auto"/>
        <w:bottom w:val="none" w:sz="0" w:space="0" w:color="auto"/>
        <w:right w:val="none" w:sz="0" w:space="0" w:color="auto"/>
      </w:divBdr>
      <w:divsChild>
        <w:div w:id="1650359169">
          <w:marLeft w:val="0"/>
          <w:marRight w:val="0"/>
          <w:marTop w:val="0"/>
          <w:marBottom w:val="0"/>
          <w:divBdr>
            <w:top w:val="none" w:sz="0" w:space="0" w:color="auto"/>
            <w:left w:val="none" w:sz="0" w:space="0" w:color="auto"/>
            <w:bottom w:val="none" w:sz="0" w:space="0" w:color="auto"/>
            <w:right w:val="none" w:sz="0" w:space="0" w:color="auto"/>
          </w:divBdr>
          <w:divsChild>
            <w:div w:id="771165007">
              <w:marLeft w:val="0"/>
              <w:marRight w:val="0"/>
              <w:marTop w:val="0"/>
              <w:marBottom w:val="0"/>
              <w:divBdr>
                <w:top w:val="none" w:sz="0" w:space="0" w:color="auto"/>
                <w:left w:val="none" w:sz="0" w:space="0" w:color="auto"/>
                <w:bottom w:val="none" w:sz="0" w:space="0" w:color="auto"/>
                <w:right w:val="none" w:sz="0" w:space="0" w:color="auto"/>
              </w:divBdr>
              <w:divsChild>
                <w:div w:id="71782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893808">
      <w:bodyDiv w:val="1"/>
      <w:marLeft w:val="0"/>
      <w:marRight w:val="0"/>
      <w:marTop w:val="0"/>
      <w:marBottom w:val="0"/>
      <w:divBdr>
        <w:top w:val="none" w:sz="0" w:space="0" w:color="auto"/>
        <w:left w:val="none" w:sz="0" w:space="0" w:color="auto"/>
        <w:bottom w:val="none" w:sz="0" w:space="0" w:color="auto"/>
        <w:right w:val="none" w:sz="0" w:space="0" w:color="auto"/>
      </w:divBdr>
    </w:div>
    <w:div w:id="817116187">
      <w:bodyDiv w:val="1"/>
      <w:marLeft w:val="0"/>
      <w:marRight w:val="0"/>
      <w:marTop w:val="0"/>
      <w:marBottom w:val="0"/>
      <w:divBdr>
        <w:top w:val="none" w:sz="0" w:space="0" w:color="auto"/>
        <w:left w:val="none" w:sz="0" w:space="0" w:color="auto"/>
        <w:bottom w:val="none" w:sz="0" w:space="0" w:color="auto"/>
        <w:right w:val="none" w:sz="0" w:space="0" w:color="auto"/>
      </w:divBdr>
    </w:div>
    <w:div w:id="865484963">
      <w:bodyDiv w:val="1"/>
      <w:marLeft w:val="0"/>
      <w:marRight w:val="0"/>
      <w:marTop w:val="0"/>
      <w:marBottom w:val="0"/>
      <w:divBdr>
        <w:top w:val="none" w:sz="0" w:space="0" w:color="auto"/>
        <w:left w:val="none" w:sz="0" w:space="0" w:color="auto"/>
        <w:bottom w:val="none" w:sz="0" w:space="0" w:color="auto"/>
        <w:right w:val="none" w:sz="0" w:space="0" w:color="auto"/>
      </w:divBdr>
      <w:divsChild>
        <w:div w:id="1546747589">
          <w:marLeft w:val="547"/>
          <w:marRight w:val="0"/>
          <w:marTop w:val="0"/>
          <w:marBottom w:val="0"/>
          <w:divBdr>
            <w:top w:val="none" w:sz="0" w:space="0" w:color="auto"/>
            <w:left w:val="none" w:sz="0" w:space="0" w:color="auto"/>
            <w:bottom w:val="none" w:sz="0" w:space="0" w:color="auto"/>
            <w:right w:val="none" w:sz="0" w:space="0" w:color="auto"/>
          </w:divBdr>
        </w:div>
        <w:div w:id="1429079345">
          <w:marLeft w:val="1166"/>
          <w:marRight w:val="0"/>
          <w:marTop w:val="0"/>
          <w:marBottom w:val="0"/>
          <w:divBdr>
            <w:top w:val="none" w:sz="0" w:space="0" w:color="auto"/>
            <w:left w:val="none" w:sz="0" w:space="0" w:color="auto"/>
            <w:bottom w:val="none" w:sz="0" w:space="0" w:color="auto"/>
            <w:right w:val="none" w:sz="0" w:space="0" w:color="auto"/>
          </w:divBdr>
        </w:div>
        <w:div w:id="1199784752">
          <w:marLeft w:val="1166"/>
          <w:marRight w:val="0"/>
          <w:marTop w:val="0"/>
          <w:marBottom w:val="0"/>
          <w:divBdr>
            <w:top w:val="none" w:sz="0" w:space="0" w:color="auto"/>
            <w:left w:val="none" w:sz="0" w:space="0" w:color="auto"/>
            <w:bottom w:val="none" w:sz="0" w:space="0" w:color="auto"/>
            <w:right w:val="none" w:sz="0" w:space="0" w:color="auto"/>
          </w:divBdr>
        </w:div>
      </w:divsChild>
    </w:div>
    <w:div w:id="877207599">
      <w:bodyDiv w:val="1"/>
      <w:marLeft w:val="0"/>
      <w:marRight w:val="0"/>
      <w:marTop w:val="0"/>
      <w:marBottom w:val="0"/>
      <w:divBdr>
        <w:top w:val="none" w:sz="0" w:space="0" w:color="auto"/>
        <w:left w:val="none" w:sz="0" w:space="0" w:color="auto"/>
        <w:bottom w:val="none" w:sz="0" w:space="0" w:color="auto"/>
        <w:right w:val="none" w:sz="0" w:space="0" w:color="auto"/>
      </w:divBdr>
    </w:div>
    <w:div w:id="948584064">
      <w:bodyDiv w:val="1"/>
      <w:marLeft w:val="0"/>
      <w:marRight w:val="0"/>
      <w:marTop w:val="0"/>
      <w:marBottom w:val="0"/>
      <w:divBdr>
        <w:top w:val="none" w:sz="0" w:space="0" w:color="auto"/>
        <w:left w:val="none" w:sz="0" w:space="0" w:color="auto"/>
        <w:bottom w:val="none" w:sz="0" w:space="0" w:color="auto"/>
        <w:right w:val="none" w:sz="0" w:space="0" w:color="auto"/>
      </w:divBdr>
      <w:divsChild>
        <w:div w:id="2006081218">
          <w:marLeft w:val="547"/>
          <w:marRight w:val="0"/>
          <w:marTop w:val="0"/>
          <w:marBottom w:val="0"/>
          <w:divBdr>
            <w:top w:val="none" w:sz="0" w:space="0" w:color="auto"/>
            <w:left w:val="none" w:sz="0" w:space="0" w:color="auto"/>
            <w:bottom w:val="none" w:sz="0" w:space="0" w:color="auto"/>
            <w:right w:val="none" w:sz="0" w:space="0" w:color="auto"/>
          </w:divBdr>
        </w:div>
        <w:div w:id="1624799804">
          <w:marLeft w:val="1166"/>
          <w:marRight w:val="0"/>
          <w:marTop w:val="0"/>
          <w:marBottom w:val="0"/>
          <w:divBdr>
            <w:top w:val="none" w:sz="0" w:space="0" w:color="auto"/>
            <w:left w:val="none" w:sz="0" w:space="0" w:color="auto"/>
            <w:bottom w:val="none" w:sz="0" w:space="0" w:color="auto"/>
            <w:right w:val="none" w:sz="0" w:space="0" w:color="auto"/>
          </w:divBdr>
        </w:div>
        <w:div w:id="2089115873">
          <w:marLeft w:val="1166"/>
          <w:marRight w:val="0"/>
          <w:marTop w:val="0"/>
          <w:marBottom w:val="0"/>
          <w:divBdr>
            <w:top w:val="none" w:sz="0" w:space="0" w:color="auto"/>
            <w:left w:val="none" w:sz="0" w:space="0" w:color="auto"/>
            <w:bottom w:val="none" w:sz="0" w:space="0" w:color="auto"/>
            <w:right w:val="none" w:sz="0" w:space="0" w:color="auto"/>
          </w:divBdr>
        </w:div>
      </w:divsChild>
    </w:div>
    <w:div w:id="985858860">
      <w:bodyDiv w:val="1"/>
      <w:marLeft w:val="0"/>
      <w:marRight w:val="0"/>
      <w:marTop w:val="0"/>
      <w:marBottom w:val="0"/>
      <w:divBdr>
        <w:top w:val="none" w:sz="0" w:space="0" w:color="auto"/>
        <w:left w:val="none" w:sz="0" w:space="0" w:color="auto"/>
        <w:bottom w:val="none" w:sz="0" w:space="0" w:color="auto"/>
        <w:right w:val="none" w:sz="0" w:space="0" w:color="auto"/>
      </w:divBdr>
    </w:div>
    <w:div w:id="992218781">
      <w:bodyDiv w:val="1"/>
      <w:marLeft w:val="0"/>
      <w:marRight w:val="0"/>
      <w:marTop w:val="0"/>
      <w:marBottom w:val="0"/>
      <w:divBdr>
        <w:top w:val="none" w:sz="0" w:space="0" w:color="auto"/>
        <w:left w:val="none" w:sz="0" w:space="0" w:color="auto"/>
        <w:bottom w:val="none" w:sz="0" w:space="0" w:color="auto"/>
        <w:right w:val="none" w:sz="0" w:space="0" w:color="auto"/>
      </w:divBdr>
    </w:div>
    <w:div w:id="1106853742">
      <w:bodyDiv w:val="1"/>
      <w:marLeft w:val="0"/>
      <w:marRight w:val="0"/>
      <w:marTop w:val="0"/>
      <w:marBottom w:val="0"/>
      <w:divBdr>
        <w:top w:val="none" w:sz="0" w:space="0" w:color="auto"/>
        <w:left w:val="none" w:sz="0" w:space="0" w:color="auto"/>
        <w:bottom w:val="none" w:sz="0" w:space="0" w:color="auto"/>
        <w:right w:val="none" w:sz="0" w:space="0" w:color="auto"/>
      </w:divBdr>
      <w:divsChild>
        <w:div w:id="1574781588">
          <w:marLeft w:val="0"/>
          <w:marRight w:val="0"/>
          <w:marTop w:val="0"/>
          <w:marBottom w:val="0"/>
          <w:divBdr>
            <w:top w:val="none" w:sz="0" w:space="0" w:color="auto"/>
            <w:left w:val="none" w:sz="0" w:space="0" w:color="auto"/>
            <w:bottom w:val="none" w:sz="0" w:space="0" w:color="auto"/>
            <w:right w:val="none" w:sz="0" w:space="0" w:color="auto"/>
          </w:divBdr>
          <w:divsChild>
            <w:div w:id="364448891">
              <w:marLeft w:val="0"/>
              <w:marRight w:val="0"/>
              <w:marTop w:val="0"/>
              <w:marBottom w:val="0"/>
              <w:divBdr>
                <w:top w:val="none" w:sz="0" w:space="0" w:color="auto"/>
                <w:left w:val="none" w:sz="0" w:space="0" w:color="auto"/>
                <w:bottom w:val="none" w:sz="0" w:space="0" w:color="auto"/>
                <w:right w:val="none" w:sz="0" w:space="0" w:color="auto"/>
              </w:divBdr>
              <w:divsChild>
                <w:div w:id="125601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630099">
      <w:bodyDiv w:val="1"/>
      <w:marLeft w:val="0"/>
      <w:marRight w:val="0"/>
      <w:marTop w:val="0"/>
      <w:marBottom w:val="0"/>
      <w:divBdr>
        <w:top w:val="none" w:sz="0" w:space="0" w:color="auto"/>
        <w:left w:val="none" w:sz="0" w:space="0" w:color="auto"/>
        <w:bottom w:val="none" w:sz="0" w:space="0" w:color="auto"/>
        <w:right w:val="none" w:sz="0" w:space="0" w:color="auto"/>
      </w:divBdr>
    </w:div>
    <w:div w:id="1196230160">
      <w:bodyDiv w:val="1"/>
      <w:marLeft w:val="0"/>
      <w:marRight w:val="0"/>
      <w:marTop w:val="0"/>
      <w:marBottom w:val="0"/>
      <w:divBdr>
        <w:top w:val="none" w:sz="0" w:space="0" w:color="auto"/>
        <w:left w:val="none" w:sz="0" w:space="0" w:color="auto"/>
        <w:bottom w:val="none" w:sz="0" w:space="0" w:color="auto"/>
        <w:right w:val="none" w:sz="0" w:space="0" w:color="auto"/>
      </w:divBdr>
      <w:divsChild>
        <w:div w:id="766198866">
          <w:marLeft w:val="547"/>
          <w:marRight w:val="0"/>
          <w:marTop w:val="96"/>
          <w:marBottom w:val="0"/>
          <w:divBdr>
            <w:top w:val="none" w:sz="0" w:space="0" w:color="auto"/>
            <w:left w:val="none" w:sz="0" w:space="0" w:color="auto"/>
            <w:bottom w:val="none" w:sz="0" w:space="0" w:color="auto"/>
            <w:right w:val="none" w:sz="0" w:space="0" w:color="auto"/>
          </w:divBdr>
        </w:div>
        <w:div w:id="462506735">
          <w:marLeft w:val="1166"/>
          <w:marRight w:val="0"/>
          <w:marTop w:val="86"/>
          <w:marBottom w:val="0"/>
          <w:divBdr>
            <w:top w:val="none" w:sz="0" w:space="0" w:color="auto"/>
            <w:left w:val="none" w:sz="0" w:space="0" w:color="auto"/>
            <w:bottom w:val="none" w:sz="0" w:space="0" w:color="auto"/>
            <w:right w:val="none" w:sz="0" w:space="0" w:color="auto"/>
          </w:divBdr>
        </w:div>
        <w:div w:id="952446082">
          <w:marLeft w:val="1166"/>
          <w:marRight w:val="0"/>
          <w:marTop w:val="86"/>
          <w:marBottom w:val="0"/>
          <w:divBdr>
            <w:top w:val="none" w:sz="0" w:space="0" w:color="auto"/>
            <w:left w:val="none" w:sz="0" w:space="0" w:color="auto"/>
            <w:bottom w:val="none" w:sz="0" w:space="0" w:color="auto"/>
            <w:right w:val="none" w:sz="0" w:space="0" w:color="auto"/>
          </w:divBdr>
        </w:div>
        <w:div w:id="964694048">
          <w:marLeft w:val="1166"/>
          <w:marRight w:val="0"/>
          <w:marTop w:val="86"/>
          <w:marBottom w:val="0"/>
          <w:divBdr>
            <w:top w:val="none" w:sz="0" w:space="0" w:color="auto"/>
            <w:left w:val="none" w:sz="0" w:space="0" w:color="auto"/>
            <w:bottom w:val="none" w:sz="0" w:space="0" w:color="auto"/>
            <w:right w:val="none" w:sz="0" w:space="0" w:color="auto"/>
          </w:divBdr>
        </w:div>
        <w:div w:id="1308634774">
          <w:marLeft w:val="547"/>
          <w:marRight w:val="0"/>
          <w:marTop w:val="96"/>
          <w:marBottom w:val="0"/>
          <w:divBdr>
            <w:top w:val="none" w:sz="0" w:space="0" w:color="auto"/>
            <w:left w:val="none" w:sz="0" w:space="0" w:color="auto"/>
            <w:bottom w:val="none" w:sz="0" w:space="0" w:color="auto"/>
            <w:right w:val="none" w:sz="0" w:space="0" w:color="auto"/>
          </w:divBdr>
        </w:div>
      </w:divsChild>
    </w:div>
    <w:div w:id="1293555661">
      <w:bodyDiv w:val="1"/>
      <w:marLeft w:val="0"/>
      <w:marRight w:val="0"/>
      <w:marTop w:val="0"/>
      <w:marBottom w:val="0"/>
      <w:divBdr>
        <w:top w:val="none" w:sz="0" w:space="0" w:color="auto"/>
        <w:left w:val="none" w:sz="0" w:space="0" w:color="auto"/>
        <w:bottom w:val="none" w:sz="0" w:space="0" w:color="auto"/>
        <w:right w:val="none" w:sz="0" w:space="0" w:color="auto"/>
      </w:divBdr>
    </w:div>
    <w:div w:id="1375277767">
      <w:bodyDiv w:val="1"/>
      <w:marLeft w:val="0"/>
      <w:marRight w:val="0"/>
      <w:marTop w:val="0"/>
      <w:marBottom w:val="0"/>
      <w:divBdr>
        <w:top w:val="none" w:sz="0" w:space="0" w:color="auto"/>
        <w:left w:val="none" w:sz="0" w:space="0" w:color="auto"/>
        <w:bottom w:val="none" w:sz="0" w:space="0" w:color="auto"/>
        <w:right w:val="none" w:sz="0" w:space="0" w:color="auto"/>
      </w:divBdr>
    </w:div>
    <w:div w:id="1417052041">
      <w:bodyDiv w:val="1"/>
      <w:marLeft w:val="0"/>
      <w:marRight w:val="0"/>
      <w:marTop w:val="0"/>
      <w:marBottom w:val="0"/>
      <w:divBdr>
        <w:top w:val="none" w:sz="0" w:space="0" w:color="auto"/>
        <w:left w:val="none" w:sz="0" w:space="0" w:color="auto"/>
        <w:bottom w:val="none" w:sz="0" w:space="0" w:color="auto"/>
        <w:right w:val="none" w:sz="0" w:space="0" w:color="auto"/>
      </w:divBdr>
      <w:divsChild>
        <w:div w:id="1806897797">
          <w:marLeft w:val="547"/>
          <w:marRight w:val="0"/>
          <w:marTop w:val="96"/>
          <w:marBottom w:val="0"/>
          <w:divBdr>
            <w:top w:val="none" w:sz="0" w:space="0" w:color="auto"/>
            <w:left w:val="none" w:sz="0" w:space="0" w:color="auto"/>
            <w:bottom w:val="none" w:sz="0" w:space="0" w:color="auto"/>
            <w:right w:val="none" w:sz="0" w:space="0" w:color="auto"/>
          </w:divBdr>
        </w:div>
        <w:div w:id="1422528939">
          <w:marLeft w:val="547"/>
          <w:marRight w:val="0"/>
          <w:marTop w:val="96"/>
          <w:marBottom w:val="0"/>
          <w:divBdr>
            <w:top w:val="none" w:sz="0" w:space="0" w:color="auto"/>
            <w:left w:val="none" w:sz="0" w:space="0" w:color="auto"/>
            <w:bottom w:val="none" w:sz="0" w:space="0" w:color="auto"/>
            <w:right w:val="none" w:sz="0" w:space="0" w:color="auto"/>
          </w:divBdr>
        </w:div>
        <w:div w:id="2084446393">
          <w:marLeft w:val="547"/>
          <w:marRight w:val="0"/>
          <w:marTop w:val="96"/>
          <w:marBottom w:val="0"/>
          <w:divBdr>
            <w:top w:val="none" w:sz="0" w:space="0" w:color="auto"/>
            <w:left w:val="none" w:sz="0" w:space="0" w:color="auto"/>
            <w:bottom w:val="none" w:sz="0" w:space="0" w:color="auto"/>
            <w:right w:val="none" w:sz="0" w:space="0" w:color="auto"/>
          </w:divBdr>
        </w:div>
        <w:div w:id="640380401">
          <w:marLeft w:val="547"/>
          <w:marRight w:val="0"/>
          <w:marTop w:val="96"/>
          <w:marBottom w:val="0"/>
          <w:divBdr>
            <w:top w:val="none" w:sz="0" w:space="0" w:color="auto"/>
            <w:left w:val="none" w:sz="0" w:space="0" w:color="auto"/>
            <w:bottom w:val="none" w:sz="0" w:space="0" w:color="auto"/>
            <w:right w:val="none" w:sz="0" w:space="0" w:color="auto"/>
          </w:divBdr>
        </w:div>
        <w:div w:id="946078922">
          <w:marLeft w:val="547"/>
          <w:marRight w:val="0"/>
          <w:marTop w:val="96"/>
          <w:marBottom w:val="0"/>
          <w:divBdr>
            <w:top w:val="none" w:sz="0" w:space="0" w:color="auto"/>
            <w:left w:val="none" w:sz="0" w:space="0" w:color="auto"/>
            <w:bottom w:val="none" w:sz="0" w:space="0" w:color="auto"/>
            <w:right w:val="none" w:sz="0" w:space="0" w:color="auto"/>
          </w:divBdr>
        </w:div>
        <w:div w:id="2123915133">
          <w:marLeft w:val="547"/>
          <w:marRight w:val="0"/>
          <w:marTop w:val="96"/>
          <w:marBottom w:val="0"/>
          <w:divBdr>
            <w:top w:val="none" w:sz="0" w:space="0" w:color="auto"/>
            <w:left w:val="none" w:sz="0" w:space="0" w:color="auto"/>
            <w:bottom w:val="none" w:sz="0" w:space="0" w:color="auto"/>
            <w:right w:val="none" w:sz="0" w:space="0" w:color="auto"/>
          </w:divBdr>
        </w:div>
      </w:divsChild>
    </w:div>
    <w:div w:id="1427262209">
      <w:bodyDiv w:val="1"/>
      <w:marLeft w:val="0"/>
      <w:marRight w:val="0"/>
      <w:marTop w:val="0"/>
      <w:marBottom w:val="0"/>
      <w:divBdr>
        <w:top w:val="none" w:sz="0" w:space="0" w:color="auto"/>
        <w:left w:val="none" w:sz="0" w:space="0" w:color="auto"/>
        <w:bottom w:val="none" w:sz="0" w:space="0" w:color="auto"/>
        <w:right w:val="none" w:sz="0" w:space="0" w:color="auto"/>
      </w:divBdr>
    </w:div>
    <w:div w:id="1453010801">
      <w:bodyDiv w:val="1"/>
      <w:marLeft w:val="0"/>
      <w:marRight w:val="0"/>
      <w:marTop w:val="0"/>
      <w:marBottom w:val="0"/>
      <w:divBdr>
        <w:top w:val="none" w:sz="0" w:space="0" w:color="auto"/>
        <w:left w:val="none" w:sz="0" w:space="0" w:color="auto"/>
        <w:bottom w:val="none" w:sz="0" w:space="0" w:color="auto"/>
        <w:right w:val="none" w:sz="0" w:space="0" w:color="auto"/>
      </w:divBdr>
    </w:div>
    <w:div w:id="1467118900">
      <w:bodyDiv w:val="1"/>
      <w:marLeft w:val="0"/>
      <w:marRight w:val="0"/>
      <w:marTop w:val="0"/>
      <w:marBottom w:val="0"/>
      <w:divBdr>
        <w:top w:val="none" w:sz="0" w:space="0" w:color="auto"/>
        <w:left w:val="none" w:sz="0" w:space="0" w:color="auto"/>
        <w:bottom w:val="none" w:sz="0" w:space="0" w:color="auto"/>
        <w:right w:val="none" w:sz="0" w:space="0" w:color="auto"/>
      </w:divBdr>
    </w:div>
    <w:div w:id="1468888558">
      <w:bodyDiv w:val="1"/>
      <w:marLeft w:val="0"/>
      <w:marRight w:val="0"/>
      <w:marTop w:val="0"/>
      <w:marBottom w:val="0"/>
      <w:divBdr>
        <w:top w:val="none" w:sz="0" w:space="0" w:color="auto"/>
        <w:left w:val="none" w:sz="0" w:space="0" w:color="auto"/>
        <w:bottom w:val="none" w:sz="0" w:space="0" w:color="auto"/>
        <w:right w:val="none" w:sz="0" w:space="0" w:color="auto"/>
      </w:divBdr>
    </w:div>
    <w:div w:id="1535388038">
      <w:bodyDiv w:val="1"/>
      <w:marLeft w:val="0"/>
      <w:marRight w:val="0"/>
      <w:marTop w:val="0"/>
      <w:marBottom w:val="0"/>
      <w:divBdr>
        <w:top w:val="none" w:sz="0" w:space="0" w:color="auto"/>
        <w:left w:val="none" w:sz="0" w:space="0" w:color="auto"/>
        <w:bottom w:val="none" w:sz="0" w:space="0" w:color="auto"/>
        <w:right w:val="none" w:sz="0" w:space="0" w:color="auto"/>
      </w:divBdr>
    </w:div>
    <w:div w:id="1584215044">
      <w:bodyDiv w:val="1"/>
      <w:marLeft w:val="0"/>
      <w:marRight w:val="0"/>
      <w:marTop w:val="0"/>
      <w:marBottom w:val="0"/>
      <w:divBdr>
        <w:top w:val="none" w:sz="0" w:space="0" w:color="auto"/>
        <w:left w:val="none" w:sz="0" w:space="0" w:color="auto"/>
        <w:bottom w:val="none" w:sz="0" w:space="0" w:color="auto"/>
        <w:right w:val="none" w:sz="0" w:space="0" w:color="auto"/>
      </w:divBdr>
      <w:divsChild>
        <w:div w:id="427777408">
          <w:marLeft w:val="547"/>
          <w:marRight w:val="0"/>
          <w:marTop w:val="96"/>
          <w:marBottom w:val="0"/>
          <w:divBdr>
            <w:top w:val="none" w:sz="0" w:space="0" w:color="auto"/>
            <w:left w:val="none" w:sz="0" w:space="0" w:color="auto"/>
            <w:bottom w:val="none" w:sz="0" w:space="0" w:color="auto"/>
            <w:right w:val="none" w:sz="0" w:space="0" w:color="auto"/>
          </w:divBdr>
        </w:div>
        <w:div w:id="645861445">
          <w:marLeft w:val="1166"/>
          <w:marRight w:val="0"/>
          <w:marTop w:val="86"/>
          <w:marBottom w:val="0"/>
          <w:divBdr>
            <w:top w:val="none" w:sz="0" w:space="0" w:color="auto"/>
            <w:left w:val="none" w:sz="0" w:space="0" w:color="auto"/>
            <w:bottom w:val="none" w:sz="0" w:space="0" w:color="auto"/>
            <w:right w:val="none" w:sz="0" w:space="0" w:color="auto"/>
          </w:divBdr>
        </w:div>
        <w:div w:id="1128206296">
          <w:marLeft w:val="1166"/>
          <w:marRight w:val="0"/>
          <w:marTop w:val="86"/>
          <w:marBottom w:val="0"/>
          <w:divBdr>
            <w:top w:val="none" w:sz="0" w:space="0" w:color="auto"/>
            <w:left w:val="none" w:sz="0" w:space="0" w:color="auto"/>
            <w:bottom w:val="none" w:sz="0" w:space="0" w:color="auto"/>
            <w:right w:val="none" w:sz="0" w:space="0" w:color="auto"/>
          </w:divBdr>
        </w:div>
        <w:div w:id="1138570235">
          <w:marLeft w:val="1166"/>
          <w:marRight w:val="0"/>
          <w:marTop w:val="86"/>
          <w:marBottom w:val="0"/>
          <w:divBdr>
            <w:top w:val="none" w:sz="0" w:space="0" w:color="auto"/>
            <w:left w:val="none" w:sz="0" w:space="0" w:color="auto"/>
            <w:bottom w:val="none" w:sz="0" w:space="0" w:color="auto"/>
            <w:right w:val="none" w:sz="0" w:space="0" w:color="auto"/>
          </w:divBdr>
        </w:div>
        <w:div w:id="906766265">
          <w:marLeft w:val="1166"/>
          <w:marRight w:val="0"/>
          <w:marTop w:val="86"/>
          <w:marBottom w:val="0"/>
          <w:divBdr>
            <w:top w:val="none" w:sz="0" w:space="0" w:color="auto"/>
            <w:left w:val="none" w:sz="0" w:space="0" w:color="auto"/>
            <w:bottom w:val="none" w:sz="0" w:space="0" w:color="auto"/>
            <w:right w:val="none" w:sz="0" w:space="0" w:color="auto"/>
          </w:divBdr>
        </w:div>
        <w:div w:id="586886427">
          <w:marLeft w:val="1166"/>
          <w:marRight w:val="0"/>
          <w:marTop w:val="86"/>
          <w:marBottom w:val="0"/>
          <w:divBdr>
            <w:top w:val="none" w:sz="0" w:space="0" w:color="auto"/>
            <w:left w:val="none" w:sz="0" w:space="0" w:color="auto"/>
            <w:bottom w:val="none" w:sz="0" w:space="0" w:color="auto"/>
            <w:right w:val="none" w:sz="0" w:space="0" w:color="auto"/>
          </w:divBdr>
        </w:div>
        <w:div w:id="934048609">
          <w:marLeft w:val="1166"/>
          <w:marRight w:val="0"/>
          <w:marTop w:val="86"/>
          <w:marBottom w:val="0"/>
          <w:divBdr>
            <w:top w:val="none" w:sz="0" w:space="0" w:color="auto"/>
            <w:left w:val="none" w:sz="0" w:space="0" w:color="auto"/>
            <w:bottom w:val="none" w:sz="0" w:space="0" w:color="auto"/>
            <w:right w:val="none" w:sz="0" w:space="0" w:color="auto"/>
          </w:divBdr>
        </w:div>
        <w:div w:id="933438749">
          <w:marLeft w:val="1166"/>
          <w:marRight w:val="0"/>
          <w:marTop w:val="86"/>
          <w:marBottom w:val="0"/>
          <w:divBdr>
            <w:top w:val="none" w:sz="0" w:space="0" w:color="auto"/>
            <w:left w:val="none" w:sz="0" w:space="0" w:color="auto"/>
            <w:bottom w:val="none" w:sz="0" w:space="0" w:color="auto"/>
            <w:right w:val="none" w:sz="0" w:space="0" w:color="auto"/>
          </w:divBdr>
        </w:div>
      </w:divsChild>
    </w:div>
    <w:div w:id="1601569848">
      <w:bodyDiv w:val="1"/>
      <w:marLeft w:val="0"/>
      <w:marRight w:val="0"/>
      <w:marTop w:val="0"/>
      <w:marBottom w:val="0"/>
      <w:divBdr>
        <w:top w:val="none" w:sz="0" w:space="0" w:color="auto"/>
        <w:left w:val="none" w:sz="0" w:space="0" w:color="auto"/>
        <w:bottom w:val="none" w:sz="0" w:space="0" w:color="auto"/>
        <w:right w:val="none" w:sz="0" w:space="0" w:color="auto"/>
      </w:divBdr>
    </w:div>
    <w:div w:id="1613315836">
      <w:bodyDiv w:val="1"/>
      <w:marLeft w:val="0"/>
      <w:marRight w:val="0"/>
      <w:marTop w:val="0"/>
      <w:marBottom w:val="0"/>
      <w:divBdr>
        <w:top w:val="none" w:sz="0" w:space="0" w:color="auto"/>
        <w:left w:val="none" w:sz="0" w:space="0" w:color="auto"/>
        <w:bottom w:val="none" w:sz="0" w:space="0" w:color="auto"/>
        <w:right w:val="none" w:sz="0" w:space="0" w:color="auto"/>
      </w:divBdr>
    </w:div>
    <w:div w:id="1622959333">
      <w:bodyDiv w:val="1"/>
      <w:marLeft w:val="0"/>
      <w:marRight w:val="0"/>
      <w:marTop w:val="0"/>
      <w:marBottom w:val="0"/>
      <w:divBdr>
        <w:top w:val="none" w:sz="0" w:space="0" w:color="auto"/>
        <w:left w:val="none" w:sz="0" w:space="0" w:color="auto"/>
        <w:bottom w:val="none" w:sz="0" w:space="0" w:color="auto"/>
        <w:right w:val="none" w:sz="0" w:space="0" w:color="auto"/>
      </w:divBdr>
      <w:divsChild>
        <w:div w:id="1309362133">
          <w:marLeft w:val="547"/>
          <w:marRight w:val="0"/>
          <w:marTop w:val="0"/>
          <w:marBottom w:val="0"/>
          <w:divBdr>
            <w:top w:val="none" w:sz="0" w:space="0" w:color="auto"/>
            <w:left w:val="none" w:sz="0" w:space="0" w:color="auto"/>
            <w:bottom w:val="none" w:sz="0" w:space="0" w:color="auto"/>
            <w:right w:val="none" w:sz="0" w:space="0" w:color="auto"/>
          </w:divBdr>
        </w:div>
        <w:div w:id="349113676">
          <w:marLeft w:val="1166"/>
          <w:marRight w:val="0"/>
          <w:marTop w:val="0"/>
          <w:marBottom w:val="0"/>
          <w:divBdr>
            <w:top w:val="none" w:sz="0" w:space="0" w:color="auto"/>
            <w:left w:val="none" w:sz="0" w:space="0" w:color="auto"/>
            <w:bottom w:val="none" w:sz="0" w:space="0" w:color="auto"/>
            <w:right w:val="none" w:sz="0" w:space="0" w:color="auto"/>
          </w:divBdr>
        </w:div>
        <w:div w:id="1216501505">
          <w:marLeft w:val="1166"/>
          <w:marRight w:val="0"/>
          <w:marTop w:val="0"/>
          <w:marBottom w:val="0"/>
          <w:divBdr>
            <w:top w:val="none" w:sz="0" w:space="0" w:color="auto"/>
            <w:left w:val="none" w:sz="0" w:space="0" w:color="auto"/>
            <w:bottom w:val="none" w:sz="0" w:space="0" w:color="auto"/>
            <w:right w:val="none" w:sz="0" w:space="0" w:color="auto"/>
          </w:divBdr>
        </w:div>
        <w:div w:id="1145505765">
          <w:marLeft w:val="1166"/>
          <w:marRight w:val="0"/>
          <w:marTop w:val="0"/>
          <w:marBottom w:val="0"/>
          <w:divBdr>
            <w:top w:val="none" w:sz="0" w:space="0" w:color="auto"/>
            <w:left w:val="none" w:sz="0" w:space="0" w:color="auto"/>
            <w:bottom w:val="none" w:sz="0" w:space="0" w:color="auto"/>
            <w:right w:val="none" w:sz="0" w:space="0" w:color="auto"/>
          </w:divBdr>
        </w:div>
        <w:div w:id="850217241">
          <w:marLeft w:val="1166"/>
          <w:marRight w:val="0"/>
          <w:marTop w:val="0"/>
          <w:marBottom w:val="0"/>
          <w:divBdr>
            <w:top w:val="none" w:sz="0" w:space="0" w:color="auto"/>
            <w:left w:val="none" w:sz="0" w:space="0" w:color="auto"/>
            <w:bottom w:val="none" w:sz="0" w:space="0" w:color="auto"/>
            <w:right w:val="none" w:sz="0" w:space="0" w:color="auto"/>
          </w:divBdr>
        </w:div>
      </w:divsChild>
    </w:div>
    <w:div w:id="1645499652">
      <w:bodyDiv w:val="1"/>
      <w:marLeft w:val="0"/>
      <w:marRight w:val="0"/>
      <w:marTop w:val="0"/>
      <w:marBottom w:val="0"/>
      <w:divBdr>
        <w:top w:val="none" w:sz="0" w:space="0" w:color="auto"/>
        <w:left w:val="none" w:sz="0" w:space="0" w:color="auto"/>
        <w:bottom w:val="none" w:sz="0" w:space="0" w:color="auto"/>
        <w:right w:val="none" w:sz="0" w:space="0" w:color="auto"/>
      </w:divBdr>
    </w:div>
    <w:div w:id="1738286067">
      <w:bodyDiv w:val="1"/>
      <w:marLeft w:val="0"/>
      <w:marRight w:val="0"/>
      <w:marTop w:val="0"/>
      <w:marBottom w:val="0"/>
      <w:divBdr>
        <w:top w:val="none" w:sz="0" w:space="0" w:color="auto"/>
        <w:left w:val="none" w:sz="0" w:space="0" w:color="auto"/>
        <w:bottom w:val="none" w:sz="0" w:space="0" w:color="auto"/>
        <w:right w:val="none" w:sz="0" w:space="0" w:color="auto"/>
      </w:divBdr>
    </w:div>
    <w:div w:id="1799376417">
      <w:bodyDiv w:val="1"/>
      <w:marLeft w:val="0"/>
      <w:marRight w:val="0"/>
      <w:marTop w:val="0"/>
      <w:marBottom w:val="0"/>
      <w:divBdr>
        <w:top w:val="none" w:sz="0" w:space="0" w:color="auto"/>
        <w:left w:val="none" w:sz="0" w:space="0" w:color="auto"/>
        <w:bottom w:val="none" w:sz="0" w:space="0" w:color="auto"/>
        <w:right w:val="none" w:sz="0" w:space="0" w:color="auto"/>
      </w:divBdr>
    </w:div>
    <w:div w:id="1816532632">
      <w:bodyDiv w:val="1"/>
      <w:marLeft w:val="0"/>
      <w:marRight w:val="0"/>
      <w:marTop w:val="0"/>
      <w:marBottom w:val="0"/>
      <w:divBdr>
        <w:top w:val="none" w:sz="0" w:space="0" w:color="auto"/>
        <w:left w:val="none" w:sz="0" w:space="0" w:color="auto"/>
        <w:bottom w:val="none" w:sz="0" w:space="0" w:color="auto"/>
        <w:right w:val="none" w:sz="0" w:space="0" w:color="auto"/>
      </w:divBdr>
    </w:div>
    <w:div w:id="1864126083">
      <w:bodyDiv w:val="1"/>
      <w:marLeft w:val="0"/>
      <w:marRight w:val="0"/>
      <w:marTop w:val="0"/>
      <w:marBottom w:val="0"/>
      <w:divBdr>
        <w:top w:val="none" w:sz="0" w:space="0" w:color="auto"/>
        <w:left w:val="none" w:sz="0" w:space="0" w:color="auto"/>
        <w:bottom w:val="none" w:sz="0" w:space="0" w:color="auto"/>
        <w:right w:val="none" w:sz="0" w:space="0" w:color="auto"/>
      </w:divBdr>
    </w:div>
    <w:div w:id="1927836005">
      <w:bodyDiv w:val="1"/>
      <w:marLeft w:val="0"/>
      <w:marRight w:val="0"/>
      <w:marTop w:val="0"/>
      <w:marBottom w:val="0"/>
      <w:divBdr>
        <w:top w:val="none" w:sz="0" w:space="0" w:color="auto"/>
        <w:left w:val="none" w:sz="0" w:space="0" w:color="auto"/>
        <w:bottom w:val="none" w:sz="0" w:space="0" w:color="auto"/>
        <w:right w:val="none" w:sz="0" w:space="0" w:color="auto"/>
      </w:divBdr>
    </w:div>
    <w:div w:id="1972856201">
      <w:bodyDiv w:val="1"/>
      <w:marLeft w:val="0"/>
      <w:marRight w:val="0"/>
      <w:marTop w:val="0"/>
      <w:marBottom w:val="0"/>
      <w:divBdr>
        <w:top w:val="none" w:sz="0" w:space="0" w:color="auto"/>
        <w:left w:val="none" w:sz="0" w:space="0" w:color="auto"/>
        <w:bottom w:val="none" w:sz="0" w:space="0" w:color="auto"/>
        <w:right w:val="none" w:sz="0" w:space="0" w:color="auto"/>
      </w:divBdr>
      <w:divsChild>
        <w:div w:id="1395086082">
          <w:marLeft w:val="547"/>
          <w:marRight w:val="0"/>
          <w:marTop w:val="134"/>
          <w:marBottom w:val="0"/>
          <w:divBdr>
            <w:top w:val="none" w:sz="0" w:space="0" w:color="auto"/>
            <w:left w:val="none" w:sz="0" w:space="0" w:color="auto"/>
            <w:bottom w:val="none" w:sz="0" w:space="0" w:color="auto"/>
            <w:right w:val="none" w:sz="0" w:space="0" w:color="auto"/>
          </w:divBdr>
        </w:div>
        <w:div w:id="891886185">
          <w:marLeft w:val="547"/>
          <w:marRight w:val="0"/>
          <w:marTop w:val="134"/>
          <w:marBottom w:val="0"/>
          <w:divBdr>
            <w:top w:val="none" w:sz="0" w:space="0" w:color="auto"/>
            <w:left w:val="none" w:sz="0" w:space="0" w:color="auto"/>
            <w:bottom w:val="none" w:sz="0" w:space="0" w:color="auto"/>
            <w:right w:val="none" w:sz="0" w:space="0" w:color="auto"/>
          </w:divBdr>
        </w:div>
        <w:div w:id="940534174">
          <w:marLeft w:val="547"/>
          <w:marRight w:val="0"/>
          <w:marTop w:val="134"/>
          <w:marBottom w:val="0"/>
          <w:divBdr>
            <w:top w:val="none" w:sz="0" w:space="0" w:color="auto"/>
            <w:left w:val="none" w:sz="0" w:space="0" w:color="auto"/>
            <w:bottom w:val="none" w:sz="0" w:space="0" w:color="auto"/>
            <w:right w:val="none" w:sz="0" w:space="0" w:color="auto"/>
          </w:divBdr>
        </w:div>
        <w:div w:id="611670776">
          <w:marLeft w:val="547"/>
          <w:marRight w:val="0"/>
          <w:marTop w:val="134"/>
          <w:marBottom w:val="0"/>
          <w:divBdr>
            <w:top w:val="none" w:sz="0" w:space="0" w:color="auto"/>
            <w:left w:val="none" w:sz="0" w:space="0" w:color="auto"/>
            <w:bottom w:val="none" w:sz="0" w:space="0" w:color="auto"/>
            <w:right w:val="none" w:sz="0" w:space="0" w:color="auto"/>
          </w:divBdr>
        </w:div>
      </w:divsChild>
    </w:div>
    <w:div w:id="2121147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ducationcluster.box.com/s/j9tt4x0el8939a84slrlitgdgquf7079" TargetMode="External"/><Relationship Id="rId18" Type="http://schemas.openxmlformats.org/officeDocument/2006/relationships/hyperlink" Target="https://educationcluster.box.com/s/jutqwl6zyye81gtfvf1o4odeh1vrv5sl" TargetMode="External"/><Relationship Id="rId26" Type="http://schemas.openxmlformats.org/officeDocument/2006/relationships/hyperlink" Target="https://www.humanitarianresponse.info/en/programme-cycle/space/document/2019-humanitarian-response-plan-template-enfr" TargetMode="External"/><Relationship Id="rId3" Type="http://schemas.openxmlformats.org/officeDocument/2006/relationships/styles" Target="styles.xml"/><Relationship Id="rId21" Type="http://schemas.openxmlformats.org/officeDocument/2006/relationships/hyperlink" Target="https://educationcluster.box.com/s/sae85wl8cvooghmdpn8n71cspw8kxn7n" TargetMode="External"/><Relationship Id="rId7" Type="http://schemas.openxmlformats.org/officeDocument/2006/relationships/endnotes" Target="endnotes.xml"/><Relationship Id="rId12" Type="http://schemas.openxmlformats.org/officeDocument/2006/relationships/hyperlink" Target="https://educationcluster.box.com/s/xecpx2t0ixor4vj1w6zgyggh3gyjoego" TargetMode="External"/><Relationship Id="rId17" Type="http://schemas.openxmlformats.org/officeDocument/2006/relationships/hyperlink" Target="https://educationcluster.box.com/s/vwwwfsr7owakx1q0ohbz399dd6jhh779" TargetMode="External"/><Relationship Id="rId25" Type="http://schemas.openxmlformats.org/officeDocument/2006/relationships/hyperlink" Target="https://educationcluster.box.com/s/1btchzgj7w4fqvmj73j1zavexwgdoqsy"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ducationcluster.box.com/s/lqcdj4jk7y3pefstl1nmpvhr8aosm2cl" TargetMode="External"/><Relationship Id="rId20" Type="http://schemas.openxmlformats.org/officeDocument/2006/relationships/hyperlink" Target="https://educationcluster.box.com/s/mkc3ws3q7ulotflg2xjg3t54m1n7hn96" TargetMode="External"/><Relationship Id="rId29" Type="http://schemas.openxmlformats.org/officeDocument/2006/relationships/hyperlink" Target="https://inee.org/system/files/resources/INEE_GN_Gender_2019.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ducationcluster.box.com/s/zmb8qac83lgeypy3svtp0mla1p55b8tv" TargetMode="External"/><Relationship Id="rId24" Type="http://schemas.openxmlformats.org/officeDocument/2006/relationships/hyperlink" Target="https://www.dropbox.com/sh/2f9s7htwfd15xht/AAC5vPoC250WA4MMxvZBvseCa/CP%20and%20Education%20Mainstreaming_General%20Guidance?dl=0&amp;preview=EDUCATION+and+Child+Protection+Integration+Checklist.docx&amp;subfolder_nav_tracking=1"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ducationcluster.box.com/s/j9tt4x0el8939a84slrlitgdgquf7079" TargetMode="External"/><Relationship Id="rId23" Type="http://schemas.openxmlformats.org/officeDocument/2006/relationships/hyperlink" Target="https://www.dropbox.com/sh/2f9s7htwfd15xht/AAC5vPoC250WA4MMxvZBvseCa/CP%20and%20Education%20Mainstreaming_General%20Guidance?dl=0&amp;preview=Protection+Mainstreaming+Tip+Sheet+-+Education+Programs.docx&amp;subfolder_nav_tracking=1" TargetMode="External"/><Relationship Id="rId28" Type="http://schemas.openxmlformats.org/officeDocument/2006/relationships/hyperlink" Target="https://educationcluster.box.com/s/dyf7xxvkhdrpwuxkqrhlirtdyuw7sqbq" TargetMode="External"/><Relationship Id="rId10" Type="http://schemas.openxmlformats.org/officeDocument/2006/relationships/hyperlink" Target="mailto:mackenzie.monserez@savethechildren.org" TargetMode="External"/><Relationship Id="rId19" Type="http://schemas.openxmlformats.org/officeDocument/2006/relationships/hyperlink" Target="https://educationcluster.box.com/s/sdjlztvrsmhymrxbg2mb9zfe31xvc0ir"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ducationcluster.box.com/s/9mqsahd102pzwwiq7cpobxxo0jc4cmkg" TargetMode="External"/><Relationship Id="rId14" Type="http://schemas.openxmlformats.org/officeDocument/2006/relationships/hyperlink" Target="https://educationcluster.box.com/s/sdjlztvrsmhymrxbg2mb9zfe31xvc0ir" TargetMode="External"/><Relationship Id="rId22" Type="http://schemas.openxmlformats.org/officeDocument/2006/relationships/hyperlink" Target="https://educationcluster.box.com/s/1btchzgj7w4fqvmj73j1zavexwgdoqsy" TargetMode="External"/><Relationship Id="rId27" Type="http://schemas.openxmlformats.org/officeDocument/2006/relationships/hyperlink" Target="https://educationcluster.box.com/s/qssu64qdua3evb7jj6fl7lnvnh00ieha" TargetMode="External"/><Relationship Id="rId30" Type="http://schemas.openxmlformats.org/officeDocument/2006/relationships/hyperlink" Target="https://educationcluster.box.com/s/1btchzgj7w4fqvmj73j1zavexwgdoqsy" TargetMode="External"/><Relationship Id="rId8"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hyperlink" Target="https://educationcluster.box.com/s/n5m5g3gjt7r1xo0qpk9utr70wu81cofl" TargetMode="External"/><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B8931-C230-7445-B980-D55DE0306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1201</Words>
  <Characters>6852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 AoR</dc:creator>
  <cp:keywords/>
  <dc:description/>
  <cp:lastModifiedBy>Monserez, Mackenzie</cp:lastModifiedBy>
  <cp:revision>9</cp:revision>
  <cp:lastPrinted>2020-02-13T08:37:00Z</cp:lastPrinted>
  <dcterms:created xsi:type="dcterms:W3CDTF">2020-08-19T08:32:00Z</dcterms:created>
  <dcterms:modified xsi:type="dcterms:W3CDTF">2020-08-19T09:52:00Z</dcterms:modified>
</cp:coreProperties>
</file>